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FD9E2" w14:textId="2D367520" w:rsidR="000C77F7" w:rsidRDefault="007956FE" w:rsidP="000C7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 (Cuerpo en alfa"/>
          <w:b/>
          <w:smallCaps/>
          <w:color w:val="FF0000"/>
          <w:sz w:val="28"/>
          <w:szCs w:val="28"/>
        </w:rPr>
      </w:pPr>
      <w:r>
        <w:rPr>
          <w:rFonts w:cs="Times New Roman (Cuerpo en alfa"/>
          <w:b/>
          <w:smallCaps/>
          <w:sz w:val="28"/>
          <w:szCs w:val="28"/>
        </w:rPr>
        <w:t>Día Mundial sin Tabaco en América Latina</w:t>
      </w:r>
    </w:p>
    <w:p w14:paraId="51739C1C" w14:textId="5BBA30D2" w:rsidR="007956FE" w:rsidRPr="000C77F7" w:rsidRDefault="007E64E5" w:rsidP="000C7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 (Cuerpo en alfa"/>
          <w:b/>
          <w:smallCaps/>
          <w:sz w:val="28"/>
          <w:szCs w:val="28"/>
        </w:rPr>
      </w:pPr>
      <w:r w:rsidRPr="000C77F7">
        <w:rPr>
          <w:rFonts w:cs="Times New Roman (Cuerpo en alfa"/>
          <w:b/>
          <w:smallCaps/>
          <w:sz w:val="28"/>
          <w:szCs w:val="28"/>
        </w:rPr>
        <w:t>E</w:t>
      </w:r>
      <w:r w:rsidR="007956FE" w:rsidRPr="000C77F7">
        <w:rPr>
          <w:rFonts w:cs="Times New Roman (Cuerpo en alfa"/>
          <w:b/>
          <w:smallCaps/>
          <w:sz w:val="28"/>
          <w:szCs w:val="28"/>
        </w:rPr>
        <w:t>l Taba</w:t>
      </w:r>
      <w:r w:rsidR="00D6449B" w:rsidRPr="000C77F7">
        <w:rPr>
          <w:rFonts w:cs="Times New Roman (Cuerpo en alfa"/>
          <w:b/>
          <w:smallCaps/>
          <w:sz w:val="28"/>
          <w:szCs w:val="28"/>
        </w:rPr>
        <w:t>co</w:t>
      </w:r>
      <w:r w:rsidR="007956FE" w:rsidRPr="000C77F7">
        <w:rPr>
          <w:rFonts w:cs="Times New Roman (Cuerpo en alfa"/>
          <w:b/>
          <w:smallCaps/>
          <w:sz w:val="28"/>
          <w:szCs w:val="28"/>
        </w:rPr>
        <w:t>, una Amenaza para Nuestro Planeta</w:t>
      </w:r>
    </w:p>
    <w:p w14:paraId="5B38CAF7" w14:textId="30D15416" w:rsidR="007956FE" w:rsidRPr="00D6449B" w:rsidRDefault="00D6449B" w:rsidP="00D6449B">
      <w:pPr>
        <w:jc w:val="center"/>
        <w:rPr>
          <w:b/>
          <w:bCs/>
        </w:rPr>
      </w:pPr>
      <w:r w:rsidRPr="00D6449B">
        <w:rPr>
          <w:b/>
          <w:bCs/>
        </w:rPr>
        <w:t>Declaración Regional</w:t>
      </w:r>
      <w:r w:rsidR="000C77F7">
        <w:rPr>
          <w:b/>
          <w:bCs/>
        </w:rPr>
        <w:t>, un llamado extensivo a gobiernos y sociedad civil en general</w:t>
      </w:r>
    </w:p>
    <w:p w14:paraId="0613AA4E" w14:textId="77777777" w:rsidR="00D6449B" w:rsidRDefault="00D6449B" w:rsidP="007956FE">
      <w:pPr>
        <w:jc w:val="both"/>
      </w:pPr>
    </w:p>
    <w:p w14:paraId="2CCF5C0B" w14:textId="77777777" w:rsidR="007956FE" w:rsidRDefault="007956FE" w:rsidP="007956FE">
      <w:pPr>
        <w:jc w:val="right"/>
      </w:pPr>
      <w:r>
        <w:t xml:space="preserve">27 de mayo de 2022. </w:t>
      </w:r>
    </w:p>
    <w:p w14:paraId="2A0AE492" w14:textId="77777777" w:rsidR="007956FE" w:rsidRDefault="007956FE" w:rsidP="007956FE">
      <w:pPr>
        <w:jc w:val="both"/>
      </w:pPr>
    </w:p>
    <w:p w14:paraId="7EEF6EF5" w14:textId="4BEDD29D" w:rsidR="007956FE" w:rsidRPr="00BC66C7" w:rsidRDefault="007956FE" w:rsidP="007956FE">
      <w:pPr>
        <w:jc w:val="both"/>
      </w:pPr>
      <w:bookmarkStart w:id="0" w:name="_Hlk104362827"/>
      <w:r>
        <w:t xml:space="preserve">Los abajo firmantes, líderes </w:t>
      </w:r>
      <w:r w:rsidR="00D6449B">
        <w:t xml:space="preserve">y lideresas </w:t>
      </w:r>
      <w:r>
        <w:t>de organizaciones civiles en América Latina</w:t>
      </w:r>
      <w:r w:rsidR="00D6449B">
        <w:t xml:space="preserve"> comprometidos con el derecho a la salud</w:t>
      </w:r>
      <w:r>
        <w:t xml:space="preserve">, expresamos a los gobiernos nacionales y locales, a la comunidad médica, a los académicos en universidades y centros de investigación, a los líderes de opinión pública, a las personas </w:t>
      </w:r>
      <w:r w:rsidRPr="007956FE">
        <w:t xml:space="preserve">que viven </w:t>
      </w:r>
      <w:r>
        <w:t xml:space="preserve">con enfermedades relacionadas </w:t>
      </w:r>
      <w:r w:rsidRPr="007956FE">
        <w:t xml:space="preserve">con el tabaquismo y a la ciudadanía en general, </w:t>
      </w:r>
      <w:r w:rsidRPr="00BC66C7">
        <w:t xml:space="preserve">nuestras razones para levantar la voz de alerta ante las actividades de la industria tabacalera que amenazan </w:t>
      </w:r>
      <w:r w:rsidR="007E64E5" w:rsidRPr="00BC66C7">
        <w:t xml:space="preserve">el </w:t>
      </w:r>
      <w:r w:rsidRPr="00BC66C7">
        <w:t>planeta, además de exigirle que eliminen sus acciones de</w:t>
      </w:r>
      <w:r w:rsidR="00F5261F">
        <w:t xml:space="preserve"> supuesta</w:t>
      </w:r>
      <w:r w:rsidRPr="00BC66C7">
        <w:t xml:space="preserve"> responsabilidad social corporativa </w:t>
      </w:r>
      <w:r w:rsidR="000C77F7">
        <w:t xml:space="preserve">o empresarial </w:t>
      </w:r>
      <w:r w:rsidRPr="00BC66C7">
        <w:t xml:space="preserve">con las cuales </w:t>
      </w:r>
      <w:r w:rsidR="00EA66C7">
        <w:t xml:space="preserve">pretenden </w:t>
      </w:r>
      <w:r w:rsidRPr="00BC66C7">
        <w:t xml:space="preserve">limpiar su imagen de industria que daña los ecosistemas. </w:t>
      </w:r>
    </w:p>
    <w:bookmarkEnd w:id="0"/>
    <w:p w14:paraId="4BD87B08" w14:textId="77777777" w:rsidR="00EE2DFC" w:rsidRDefault="00EE2DFC" w:rsidP="007956FE">
      <w:pPr>
        <w:jc w:val="both"/>
      </w:pPr>
    </w:p>
    <w:p w14:paraId="5A1AA31C" w14:textId="34200E2A" w:rsidR="007956FE" w:rsidRPr="007956FE" w:rsidRDefault="007956FE" w:rsidP="007956FE">
      <w:pPr>
        <w:jc w:val="both"/>
      </w:pPr>
      <w:r w:rsidRPr="007956FE">
        <w:t xml:space="preserve">El Día Mundial sin Tabaco se </w:t>
      </w:r>
      <w:r w:rsidR="00D6449B">
        <w:t>conmemora</w:t>
      </w:r>
      <w:r w:rsidRPr="007956FE">
        <w:t xml:space="preserve"> el 31 de mayo de cada año para llamar la atención sobre los perjuicios </w:t>
      </w:r>
      <w:r w:rsidR="00EA66C7">
        <w:t xml:space="preserve">sociales, económicos y ambientales </w:t>
      </w:r>
      <w:r w:rsidRPr="007956FE">
        <w:t xml:space="preserve">que ocasionan los productos </w:t>
      </w:r>
      <w:r w:rsidR="000E668E">
        <w:t xml:space="preserve">de tabaco y sus derivados, </w:t>
      </w:r>
      <w:r w:rsidRPr="007956FE">
        <w:t xml:space="preserve">convocar a la acción ciudadana para prevenirlos, contenerlos o evitar su agravamiento. </w:t>
      </w:r>
      <w:r w:rsidR="000E668E">
        <w:t>E</w:t>
      </w:r>
      <w:r w:rsidRPr="007956FE">
        <w:t xml:space="preserve">ste 2022 la Organización Mundial de la Salud ha impulsado una campaña para exponer las muchas formas en que el tabaco contamina el planeta y daña la salud de las personas. </w:t>
      </w:r>
    </w:p>
    <w:p w14:paraId="33273836" w14:textId="77777777" w:rsidR="00EE2DFC" w:rsidRDefault="00EE2DFC" w:rsidP="007956FE">
      <w:pPr>
        <w:jc w:val="both"/>
      </w:pPr>
    </w:p>
    <w:p w14:paraId="6BAC0A6B" w14:textId="11439E93" w:rsidR="007956FE" w:rsidRDefault="007956FE" w:rsidP="007956FE">
      <w:pPr>
        <w:jc w:val="both"/>
      </w:pPr>
      <w:r>
        <w:t xml:space="preserve">El daño ambiental del </w:t>
      </w:r>
      <w:r w:rsidR="000E668E">
        <w:t>tabaco</w:t>
      </w:r>
      <w:r>
        <w:t xml:space="preserve"> cubre todo su ciclo: cultivo y curado (uso de agroquímicos, deforestación, daño a la salud de cultivadores, por ejemplo); manufactura y distribución (transporte, contaminación, uso de plásticos y empaques); consumo (humo ambiental, humo de tercera mano</w:t>
      </w:r>
      <w:r w:rsidRPr="000E668E">
        <w:rPr>
          <w:color w:val="000000" w:themeColor="text1"/>
        </w:rPr>
        <w:t>)</w:t>
      </w:r>
      <w:r w:rsidR="00F844F0">
        <w:rPr>
          <w:color w:val="FF0000"/>
        </w:rPr>
        <w:t xml:space="preserve"> </w:t>
      </w:r>
      <w:r w:rsidRPr="000E668E">
        <w:rPr>
          <w:color w:val="000000" w:themeColor="text1"/>
        </w:rPr>
        <w:t xml:space="preserve">y </w:t>
      </w:r>
      <w:r>
        <w:t>basura post-consumo (contaminación de colillas, d</w:t>
      </w:r>
      <w:r w:rsidR="00EA66C7">
        <w:t>isposición</w:t>
      </w:r>
      <w:r>
        <w:t xml:space="preserve"> de empaques, basura peligrosa por dispositivos electrónicos, baterías). </w:t>
      </w:r>
      <w:r w:rsidR="00837055" w:rsidRPr="00837055">
        <w:t>E</w:t>
      </w:r>
      <w:r w:rsidR="00B11682">
        <w:t xml:space="preserve">n cualquiera de sus fases, </w:t>
      </w:r>
      <w:r w:rsidR="00EA66C7">
        <w:t>las estimaciones sobre el daño, aún parciales, son preocupantes</w:t>
      </w:r>
      <w:r w:rsidRPr="00837055">
        <w:t>.</w:t>
      </w:r>
      <w:r w:rsidRPr="00837055">
        <w:rPr>
          <w:rStyle w:val="Refdenotaalpie"/>
        </w:rPr>
        <w:footnoteReference w:id="1"/>
      </w:r>
    </w:p>
    <w:p w14:paraId="38E25873" w14:textId="5E681050" w:rsidR="00EE2DFC" w:rsidRDefault="00EE2DFC" w:rsidP="007956FE">
      <w:pPr>
        <w:jc w:val="both"/>
      </w:pPr>
    </w:p>
    <w:p w14:paraId="5946B36A" w14:textId="03374D5F" w:rsidR="00EE2DFC" w:rsidRDefault="00EE2DFC" w:rsidP="007956FE">
      <w:pPr>
        <w:jc w:val="both"/>
      </w:pPr>
      <w:r>
        <w:t>Cada año se destruyen alrededor de 3.5 millones de hectáreas de tierras para cultivar tabaco en ellas.</w:t>
      </w:r>
      <w:r>
        <w:rPr>
          <w:rStyle w:val="Refdenotaalpie"/>
        </w:rPr>
        <w:footnoteReference w:id="2"/>
      </w:r>
      <w:r>
        <w:t xml:space="preserve"> Se calcula que desde la década de 1970 a la fecha se han perdido 1,500 millones de hectáreas de bosques, principalmente tropicales, lo que ha contribuido hasta </w:t>
      </w:r>
      <w:r w:rsidRPr="00EE2DFC">
        <w:t>en</w:t>
      </w:r>
      <w:r>
        <w:rPr>
          <w:color w:val="0070C0"/>
        </w:rPr>
        <w:t xml:space="preserve"> </w:t>
      </w:r>
      <w:r>
        <w:t>un 20 por ciento de aumento anual de los gases de efecto invernadero.</w:t>
      </w:r>
      <w:r>
        <w:rPr>
          <w:rStyle w:val="Refdenotaalpie"/>
        </w:rPr>
        <w:footnoteReference w:id="3"/>
      </w:r>
    </w:p>
    <w:p w14:paraId="42189F1F" w14:textId="77777777" w:rsidR="007956FE" w:rsidRDefault="007956FE" w:rsidP="007956FE">
      <w:pPr>
        <w:jc w:val="both"/>
        <w:rPr>
          <w:lang w:val="es-ES"/>
        </w:rPr>
      </w:pPr>
    </w:p>
    <w:p w14:paraId="459D4E3D" w14:textId="4BFA7A17" w:rsidR="007956FE" w:rsidRDefault="007956FE" w:rsidP="007956FE">
      <w:pPr>
        <w:jc w:val="both"/>
      </w:pPr>
      <w:r w:rsidRPr="0081297A">
        <w:rPr>
          <w:color w:val="000000" w:themeColor="text1"/>
        </w:rPr>
        <w:lastRenderedPageBreak/>
        <w:t>C</w:t>
      </w:r>
      <w:r w:rsidRPr="0081297A">
        <w:t>on el cultivo anual de 32 millones de toneladas de hoja de tabaco para producir unos 6 trillones de cigarrillos, se utilizan 22 mil millones de toneladas de agua, el equivalente a 8.8 millones de piscinas olímpicas.</w:t>
      </w:r>
      <w:r w:rsidRPr="0081297A">
        <w:rPr>
          <w:rStyle w:val="Refdenotaalpie"/>
        </w:rPr>
        <w:footnoteReference w:id="4"/>
      </w:r>
      <w:r>
        <w:t xml:space="preserve"> </w:t>
      </w:r>
    </w:p>
    <w:p w14:paraId="3ECF5C2B" w14:textId="77777777" w:rsidR="007956FE" w:rsidRDefault="007956FE" w:rsidP="007956FE">
      <w:pPr>
        <w:jc w:val="both"/>
        <w:rPr>
          <w:lang w:val="es-ES"/>
        </w:rPr>
      </w:pPr>
    </w:p>
    <w:p w14:paraId="340FA794" w14:textId="752ED3E5" w:rsidR="007956FE" w:rsidRDefault="007956FE" w:rsidP="007956FE">
      <w:pPr>
        <w:jc w:val="both"/>
      </w:pPr>
      <w:r w:rsidRPr="00837055">
        <w:t xml:space="preserve">Anualmente se desechan aproximadamente 4.5 trillones de colillas de cigarrillos en el mundo, lo que las convierte en el objeto más desechado de la Tierra y en la basura más frecuente de hallar en las playas. </w:t>
      </w:r>
      <w:r w:rsidRPr="00837055">
        <w:rPr>
          <w:rStyle w:val="Refdenotaalpie"/>
        </w:rPr>
        <w:footnoteReference w:id="5"/>
      </w:r>
      <w:r w:rsidRPr="00837055">
        <w:t xml:space="preserve"> Un solo cigarro puede contaminar 1 metro cúbico de agua (mil litros)</w:t>
      </w:r>
      <w:r w:rsidRPr="00837055">
        <w:rPr>
          <w:rStyle w:val="Refdenotaalpie"/>
        </w:rPr>
        <w:footnoteReference w:id="6"/>
      </w:r>
      <w:r w:rsidRPr="00837055">
        <w:t xml:space="preserve"> y las sustancias químicas que se desprenden </w:t>
      </w:r>
      <w:r>
        <w:t>de una sola colilla – empapada durante 24 horas en un litro de agua – liberan suficientes toxinas para matar al 50% de los peces de agua dulce y agua salada expuestos a ellas durante 96 horas.</w:t>
      </w:r>
      <w:r>
        <w:rPr>
          <w:rStyle w:val="Refdenotaalpie"/>
        </w:rPr>
        <w:footnoteReference w:id="7"/>
      </w:r>
      <w:r>
        <w:t xml:space="preserve"> </w:t>
      </w:r>
    </w:p>
    <w:p w14:paraId="579C96F4" w14:textId="59FE84B9" w:rsidR="007956FE" w:rsidRDefault="007956FE" w:rsidP="007956FE">
      <w:pPr>
        <w:jc w:val="both"/>
        <w:rPr>
          <w:lang w:val="es-ES"/>
        </w:rPr>
      </w:pPr>
    </w:p>
    <w:p w14:paraId="14368A92" w14:textId="2D197B95" w:rsidR="008F3FB6" w:rsidRDefault="008F3FB6" w:rsidP="007956FE">
      <w:pPr>
        <w:jc w:val="both"/>
        <w:rPr>
          <w:lang w:val="es-ES"/>
        </w:rPr>
      </w:pPr>
      <w:r w:rsidRPr="00543B73">
        <w:rPr>
          <w:lang w:val="es-ES"/>
        </w:rPr>
        <w:t xml:space="preserve">En </w:t>
      </w:r>
      <w:r w:rsidR="009C7620" w:rsidRPr="00543B73">
        <w:rPr>
          <w:lang w:val="es-ES"/>
        </w:rPr>
        <w:t>Latinoamérica</w:t>
      </w:r>
      <w:r w:rsidRPr="00543B73">
        <w:rPr>
          <w:lang w:val="es-ES"/>
        </w:rPr>
        <w:t xml:space="preserve">, según </w:t>
      </w:r>
      <w:r w:rsidR="00543B73" w:rsidRPr="00543B73">
        <w:rPr>
          <w:lang w:val="es-ES"/>
        </w:rPr>
        <w:t xml:space="preserve">el informe de STOP elaborado en colaboración con </w:t>
      </w:r>
      <w:r w:rsidRPr="00543B73">
        <w:rPr>
          <w:lang w:val="es-ES"/>
        </w:rPr>
        <w:t xml:space="preserve">el Centro Global para la Buena Gobernanza en Control del Tabaco (GGTC, por sus siglas en inglés), el costo </w:t>
      </w:r>
      <w:r w:rsidR="00267E7B" w:rsidRPr="00543B73">
        <w:rPr>
          <w:lang w:val="es-ES"/>
        </w:rPr>
        <w:t xml:space="preserve">anual </w:t>
      </w:r>
      <w:r w:rsidRPr="00543B73">
        <w:rPr>
          <w:lang w:val="es-ES"/>
        </w:rPr>
        <w:t xml:space="preserve">de contaminación marina es de </w:t>
      </w:r>
      <w:r w:rsidR="00190334" w:rsidRPr="00543B73">
        <w:rPr>
          <w:lang w:val="es-ES"/>
        </w:rPr>
        <w:t>1,022 millones</w:t>
      </w:r>
      <w:r w:rsidRPr="00543B73">
        <w:rPr>
          <w:lang w:val="es-ES"/>
        </w:rPr>
        <w:t xml:space="preserve"> de dólares</w:t>
      </w:r>
      <w:r w:rsidR="009C7620" w:rsidRPr="00543B73">
        <w:rPr>
          <w:lang w:val="es-ES"/>
        </w:rPr>
        <w:t xml:space="preserve"> que, sumado a los 15 millones de dólares por el manejo de los residuos sólidos, da un total de </w:t>
      </w:r>
      <w:r w:rsidR="00190334" w:rsidRPr="00543B73">
        <w:rPr>
          <w:lang w:val="es-ES"/>
        </w:rPr>
        <w:t>1,037 mi</w:t>
      </w:r>
      <w:r w:rsidR="009C7620" w:rsidRPr="00543B73">
        <w:rPr>
          <w:lang w:val="es-ES"/>
        </w:rPr>
        <w:t>llones de dólares</w:t>
      </w:r>
      <w:r w:rsidR="0015165A" w:rsidRPr="00543B73">
        <w:rPr>
          <w:lang w:val="es-ES"/>
        </w:rPr>
        <w:t xml:space="preserve"> al año</w:t>
      </w:r>
      <w:r w:rsidR="009C7620" w:rsidRPr="00543B73">
        <w:rPr>
          <w:lang w:val="es-ES"/>
        </w:rPr>
        <w:t xml:space="preserve">. </w:t>
      </w:r>
      <w:r w:rsidR="00190334" w:rsidRPr="00543B73">
        <w:rPr>
          <w:lang w:val="es-ES"/>
        </w:rPr>
        <w:t xml:space="preserve">Este es el impacto cuantificable de la </w:t>
      </w:r>
      <w:r w:rsidR="0011301A" w:rsidRPr="00543B73">
        <w:rPr>
          <w:lang w:val="es-ES"/>
        </w:rPr>
        <w:t xml:space="preserve">contaminación que debería pagar la industria tabacalera </w:t>
      </w:r>
      <w:r w:rsidR="00190334" w:rsidRPr="00543B73">
        <w:rPr>
          <w:lang w:val="es-ES"/>
        </w:rPr>
        <w:t>considerando ese par de indicadores.</w:t>
      </w:r>
      <w:r w:rsidR="00190334" w:rsidRPr="00543B73">
        <w:rPr>
          <w:rStyle w:val="Refdenotaalpie"/>
          <w:lang w:val="es-ES"/>
        </w:rPr>
        <w:footnoteReference w:id="8"/>
      </w:r>
    </w:p>
    <w:p w14:paraId="3C82DB87" w14:textId="77777777" w:rsidR="008F3FB6" w:rsidRDefault="008F3FB6" w:rsidP="007956FE">
      <w:pPr>
        <w:jc w:val="both"/>
        <w:rPr>
          <w:lang w:val="es-ES"/>
        </w:rPr>
      </w:pPr>
    </w:p>
    <w:p w14:paraId="2D5805B4" w14:textId="77777777" w:rsidR="007956FE" w:rsidRDefault="007956FE" w:rsidP="007956FE">
      <w:pPr>
        <w:jc w:val="both"/>
      </w:pPr>
      <w:r>
        <w:t>Los nuevos desarrollos e “innovaciones” de la industria tabacalera añaden una carga ambiental adiciona</w:t>
      </w:r>
      <w:r w:rsidRPr="00F5261F">
        <w:t xml:space="preserve">l, </w:t>
      </w:r>
      <w:r>
        <w:t>que suma el impacto negativo en la salud. Un estudio reciente reveló que “las nuevas clases de plásticos, metales, cartuchos, baterías de iones de litio y soluciones concentradas de nicotina, utilizados en muchos de los nuevos productos electrónicos de nicotina y tabaco, implican procesos de fabricación significativamente más intensivos en términos ambientales que los productos que están hechos principalmente de materia vegetal y filtros de plástico, como los cigarros ordinarios”.</w:t>
      </w:r>
      <w:r>
        <w:rPr>
          <w:rStyle w:val="Refdenotaalpie"/>
        </w:rPr>
        <w:footnoteReference w:id="9"/>
      </w:r>
      <w:r>
        <w:t xml:space="preserve"> </w:t>
      </w:r>
    </w:p>
    <w:p w14:paraId="15F7F78D" w14:textId="64E08A27" w:rsidR="007C308B" w:rsidRDefault="007C308B" w:rsidP="007956FE">
      <w:pPr>
        <w:jc w:val="both"/>
      </w:pPr>
    </w:p>
    <w:p w14:paraId="1520E146" w14:textId="19EF1A5E" w:rsidR="007C308B" w:rsidRPr="00837055" w:rsidRDefault="007C308B" w:rsidP="007956FE">
      <w:pPr>
        <w:jc w:val="both"/>
      </w:pPr>
      <w:r w:rsidRPr="00837055">
        <w:t xml:space="preserve">La nueva paradoja del </w:t>
      </w:r>
      <w:r>
        <w:t xml:space="preserve">lavado de imagen como “industria verde” </w:t>
      </w:r>
      <w:r w:rsidRPr="00837055">
        <w:t xml:space="preserve">cometido por </w:t>
      </w:r>
      <w:r>
        <w:t xml:space="preserve">las compañías tabacaleras, que desean mostrarse como responsables y solidarias con el daño </w:t>
      </w:r>
      <w:r>
        <w:lastRenderedPageBreak/>
        <w:t>al planeta,</w:t>
      </w:r>
      <w:r w:rsidRPr="00837055">
        <w:t xml:space="preserve"> muestra que mientras promueve sus nuevos productos como </w:t>
      </w:r>
      <w:r w:rsidRPr="00837055">
        <w:rPr>
          <w:i/>
          <w:iCs/>
        </w:rPr>
        <w:t>el futuro verde y sostenible</w:t>
      </w:r>
      <w:r w:rsidRPr="00837055">
        <w:t>, en realidad representa</w:t>
      </w:r>
      <w:r w:rsidR="00522201">
        <w:t>, entre otros,</w:t>
      </w:r>
      <w:r w:rsidRPr="00837055">
        <w:t xml:space="preserve"> más contaminación, consumo de energía, de materiales y residuos con costo</w:t>
      </w:r>
      <w:r w:rsidR="00EA66C7">
        <w:t>s al ambiente</w:t>
      </w:r>
      <w:r w:rsidRPr="00837055">
        <w:t xml:space="preserve">. </w:t>
      </w:r>
    </w:p>
    <w:p w14:paraId="4E280D15" w14:textId="77777777" w:rsidR="007956FE" w:rsidRDefault="007956FE" w:rsidP="007956FE">
      <w:pPr>
        <w:jc w:val="both"/>
        <w:rPr>
          <w:lang w:val="es-ES"/>
        </w:rPr>
      </w:pPr>
    </w:p>
    <w:p w14:paraId="718AB205" w14:textId="3560C5AC" w:rsidR="007956FE" w:rsidRPr="0046696A" w:rsidRDefault="007956FE" w:rsidP="007956FE">
      <w:pPr>
        <w:jc w:val="both"/>
        <w:rPr>
          <w:lang w:val="es-ES"/>
        </w:rPr>
      </w:pPr>
      <w:r w:rsidRPr="0046696A">
        <w:rPr>
          <w:lang w:val="es-ES"/>
        </w:rPr>
        <w:t xml:space="preserve">En tal virtud, </w:t>
      </w:r>
      <w:r w:rsidRPr="0046696A">
        <w:rPr>
          <w:b/>
          <w:bCs/>
          <w:lang w:val="es-ES"/>
        </w:rPr>
        <w:t>llamamos</w:t>
      </w:r>
      <w:r w:rsidRPr="0046696A">
        <w:rPr>
          <w:lang w:val="es-ES"/>
        </w:rPr>
        <w:t>:</w:t>
      </w:r>
    </w:p>
    <w:p w14:paraId="70DC7063" w14:textId="77777777" w:rsidR="007956FE" w:rsidRDefault="007956FE" w:rsidP="007956FE">
      <w:pPr>
        <w:jc w:val="both"/>
      </w:pPr>
    </w:p>
    <w:p w14:paraId="53D0687F" w14:textId="6B22A1CD" w:rsidR="007956FE" w:rsidRDefault="007956FE" w:rsidP="007956FE">
      <w:pPr>
        <w:pStyle w:val="Prrafodelista"/>
        <w:numPr>
          <w:ilvl w:val="0"/>
          <w:numId w:val="2"/>
        </w:numPr>
        <w:jc w:val="both"/>
        <w:rPr>
          <w:color w:val="auto"/>
          <w:sz w:val="24"/>
          <w:szCs w:val="24"/>
          <w:lang w:val="es-MX" w:eastAsia="en-US"/>
        </w:rPr>
      </w:pPr>
      <w:r w:rsidRPr="00D043C0">
        <w:rPr>
          <w:color w:val="auto"/>
          <w:sz w:val="24"/>
          <w:szCs w:val="24"/>
          <w:lang w:val="es-MX" w:eastAsia="en-US"/>
        </w:rPr>
        <w:t xml:space="preserve">A los gobiernos para que prohíban las acciones de </w:t>
      </w:r>
      <w:r w:rsidR="00E912A1">
        <w:rPr>
          <w:color w:val="auto"/>
          <w:sz w:val="24"/>
          <w:szCs w:val="24"/>
          <w:lang w:val="es-MX" w:eastAsia="en-US"/>
        </w:rPr>
        <w:t xml:space="preserve">supuesta </w:t>
      </w:r>
      <w:r w:rsidRPr="00D043C0">
        <w:rPr>
          <w:color w:val="auto"/>
          <w:sz w:val="24"/>
          <w:szCs w:val="24"/>
          <w:lang w:val="es-MX" w:eastAsia="en-US"/>
        </w:rPr>
        <w:t>responsabilidad social corporativa</w:t>
      </w:r>
      <w:r w:rsidR="00E912A1">
        <w:rPr>
          <w:color w:val="auto"/>
          <w:sz w:val="24"/>
          <w:szCs w:val="24"/>
          <w:lang w:val="es-MX" w:eastAsia="en-US"/>
        </w:rPr>
        <w:t xml:space="preserve"> o empresarial</w:t>
      </w:r>
      <w:r w:rsidRPr="00D043C0">
        <w:rPr>
          <w:color w:val="auto"/>
          <w:sz w:val="24"/>
          <w:szCs w:val="24"/>
          <w:lang w:val="es-MX" w:eastAsia="en-US"/>
        </w:rPr>
        <w:t xml:space="preserve"> de la industria tabacalera, incluyendo el </w:t>
      </w:r>
      <w:r w:rsidR="00C9333F">
        <w:rPr>
          <w:color w:val="auto"/>
          <w:sz w:val="24"/>
          <w:szCs w:val="24"/>
          <w:lang w:val="es-MX" w:eastAsia="en-US"/>
        </w:rPr>
        <w:t>lavado de imagen como “industria verde”</w:t>
      </w:r>
      <w:r w:rsidRPr="00D043C0">
        <w:rPr>
          <w:color w:val="auto"/>
          <w:sz w:val="24"/>
          <w:szCs w:val="24"/>
          <w:lang w:val="es-MX" w:eastAsia="en-US"/>
        </w:rPr>
        <w:t xml:space="preserve">, no solo porque </w:t>
      </w:r>
      <w:r w:rsidRPr="000270C4">
        <w:rPr>
          <w:color w:val="auto"/>
          <w:sz w:val="24"/>
          <w:szCs w:val="24"/>
          <w:lang w:val="es-MX" w:eastAsia="en-US"/>
        </w:rPr>
        <w:t>tal concepto implica publicidad, promoción y patrocinio de la industria</w:t>
      </w:r>
      <w:r w:rsidR="00C9333F">
        <w:rPr>
          <w:color w:val="auto"/>
          <w:sz w:val="24"/>
          <w:szCs w:val="24"/>
          <w:lang w:val="es-MX" w:eastAsia="en-US"/>
        </w:rPr>
        <w:t>, sus marcas</w:t>
      </w:r>
      <w:r w:rsidRPr="000270C4">
        <w:rPr>
          <w:color w:val="auto"/>
          <w:sz w:val="24"/>
          <w:szCs w:val="24"/>
          <w:lang w:val="es-MX" w:eastAsia="en-US"/>
        </w:rPr>
        <w:t xml:space="preserve"> y sus productos, sino también porque engañan al público, acrecientan su influencia y buscan incidir en decisiones públicas con la ganancia en imagen. </w:t>
      </w:r>
    </w:p>
    <w:p w14:paraId="2AA624F8" w14:textId="635AFFF5" w:rsidR="00DC1667" w:rsidRPr="006721DE" w:rsidRDefault="00DC1667" w:rsidP="007956FE">
      <w:pPr>
        <w:pStyle w:val="Prrafodelista"/>
        <w:numPr>
          <w:ilvl w:val="0"/>
          <w:numId w:val="2"/>
        </w:numPr>
        <w:jc w:val="both"/>
        <w:rPr>
          <w:color w:val="auto"/>
          <w:sz w:val="24"/>
          <w:szCs w:val="24"/>
          <w:lang w:val="es-MX" w:eastAsia="en-US"/>
        </w:rPr>
      </w:pPr>
      <w:r w:rsidRPr="006721DE">
        <w:rPr>
          <w:color w:val="auto"/>
          <w:sz w:val="24"/>
          <w:szCs w:val="24"/>
          <w:lang w:val="es-MX" w:eastAsia="en-US"/>
        </w:rPr>
        <w:t xml:space="preserve">A los gobiernos nacionales y locales </w:t>
      </w:r>
      <w:r w:rsidR="00F6337D" w:rsidRPr="006721DE">
        <w:rPr>
          <w:color w:val="auto"/>
          <w:sz w:val="24"/>
          <w:szCs w:val="24"/>
          <w:lang w:val="es-MX" w:eastAsia="en-US"/>
        </w:rPr>
        <w:t>para que</w:t>
      </w:r>
      <w:r w:rsidR="004405F6" w:rsidRPr="006721DE">
        <w:rPr>
          <w:color w:val="auto"/>
          <w:sz w:val="24"/>
          <w:szCs w:val="24"/>
          <w:lang w:val="es-MX" w:eastAsia="en-US"/>
        </w:rPr>
        <w:t xml:space="preserve"> </w:t>
      </w:r>
      <w:r w:rsidR="00097397" w:rsidRPr="006721DE">
        <w:rPr>
          <w:color w:val="auto"/>
          <w:sz w:val="24"/>
          <w:szCs w:val="24"/>
          <w:lang w:val="es-MX" w:eastAsia="en-US"/>
        </w:rPr>
        <w:t>creen, implementen o incrementen</w:t>
      </w:r>
      <w:r w:rsidR="004405F6" w:rsidRPr="006721DE">
        <w:rPr>
          <w:color w:val="auto"/>
          <w:sz w:val="24"/>
          <w:szCs w:val="24"/>
          <w:lang w:val="es-MX" w:eastAsia="en-US"/>
        </w:rPr>
        <w:t xml:space="preserve"> </w:t>
      </w:r>
      <w:r w:rsidR="00F6337D" w:rsidRPr="006721DE">
        <w:rPr>
          <w:color w:val="auto"/>
          <w:sz w:val="24"/>
          <w:szCs w:val="24"/>
          <w:lang w:val="es-MX" w:eastAsia="en-US"/>
        </w:rPr>
        <w:t>los impuestos o contribuciones a los productos de tabaco</w:t>
      </w:r>
      <w:r w:rsidR="00097397" w:rsidRPr="006721DE">
        <w:rPr>
          <w:color w:val="auto"/>
          <w:sz w:val="24"/>
          <w:szCs w:val="24"/>
          <w:lang w:val="es-MX" w:eastAsia="en-US"/>
        </w:rPr>
        <w:t xml:space="preserve"> y derivados</w:t>
      </w:r>
      <w:r w:rsidR="00F6337D" w:rsidRPr="006721DE">
        <w:rPr>
          <w:color w:val="auto"/>
          <w:sz w:val="24"/>
          <w:szCs w:val="24"/>
          <w:lang w:val="es-MX" w:eastAsia="en-US"/>
        </w:rPr>
        <w:t xml:space="preserve"> por los daños ocasionados al planeta, para que dichos recursos puedan usarse </w:t>
      </w:r>
      <w:r w:rsidR="00097397" w:rsidRPr="006721DE">
        <w:rPr>
          <w:color w:val="auto"/>
          <w:sz w:val="24"/>
          <w:szCs w:val="24"/>
          <w:lang w:val="es-MX" w:eastAsia="en-US"/>
        </w:rPr>
        <w:t xml:space="preserve">entre otras formas de compensación, </w:t>
      </w:r>
      <w:r w:rsidR="00F6337D" w:rsidRPr="006721DE">
        <w:rPr>
          <w:color w:val="auto"/>
          <w:sz w:val="24"/>
          <w:szCs w:val="24"/>
          <w:lang w:val="es-MX" w:eastAsia="en-US"/>
        </w:rPr>
        <w:t xml:space="preserve">en un Fondo para la Limpieza de playas, océanos, ríos y suelos. Considérese dicha política fiscal hacia los productos novedosos de tabaco y nicotina solo donde </w:t>
      </w:r>
      <w:r w:rsidR="004405F6" w:rsidRPr="006721DE">
        <w:rPr>
          <w:color w:val="auto"/>
          <w:sz w:val="24"/>
          <w:szCs w:val="24"/>
          <w:lang w:val="es-MX" w:eastAsia="en-US"/>
        </w:rPr>
        <w:t>estén permitidos</w:t>
      </w:r>
      <w:r w:rsidR="00F6337D" w:rsidRPr="006721DE">
        <w:rPr>
          <w:color w:val="auto"/>
          <w:sz w:val="24"/>
          <w:szCs w:val="24"/>
          <w:lang w:val="es-MX" w:eastAsia="en-US"/>
        </w:rPr>
        <w:t xml:space="preserve">, porque es una estrategia de la industria tabacalera </w:t>
      </w:r>
      <w:r w:rsidR="004405F6" w:rsidRPr="006721DE">
        <w:rPr>
          <w:color w:val="auto"/>
          <w:sz w:val="24"/>
          <w:szCs w:val="24"/>
          <w:lang w:val="es-MX" w:eastAsia="en-US"/>
        </w:rPr>
        <w:t xml:space="preserve">para </w:t>
      </w:r>
      <w:r w:rsidR="00F6337D" w:rsidRPr="006721DE">
        <w:rPr>
          <w:color w:val="auto"/>
          <w:sz w:val="24"/>
          <w:szCs w:val="24"/>
          <w:lang w:val="es-MX" w:eastAsia="en-US"/>
        </w:rPr>
        <w:t xml:space="preserve">obtener reconocimiento legal vía impuestos. </w:t>
      </w:r>
    </w:p>
    <w:p w14:paraId="7D45A494" w14:textId="1FC87F1F" w:rsidR="007956FE" w:rsidRPr="000270C4" w:rsidRDefault="007956FE" w:rsidP="007956FE">
      <w:pPr>
        <w:pStyle w:val="Prrafodelista"/>
        <w:numPr>
          <w:ilvl w:val="0"/>
          <w:numId w:val="2"/>
        </w:numPr>
        <w:jc w:val="both"/>
        <w:rPr>
          <w:color w:val="auto"/>
          <w:sz w:val="24"/>
          <w:szCs w:val="24"/>
          <w:lang w:val="es-MX" w:eastAsia="en-US"/>
        </w:rPr>
      </w:pPr>
      <w:r w:rsidRPr="000270C4">
        <w:rPr>
          <w:color w:val="auto"/>
          <w:sz w:val="24"/>
          <w:szCs w:val="24"/>
          <w:lang w:val="es-MX" w:eastAsia="en-US"/>
        </w:rPr>
        <w:t xml:space="preserve">A las organizaciones de la sociedad civil y a los gobiernos nacionales y/o locales para que rechacen las alianzas en las actividades medioambientales con la industria tabacalera que puedan ser utilizadas por ella para mostrarse como aliada en la protección del planeta y eluda el cumplimiento del Artículo 5.3 del </w:t>
      </w:r>
      <w:r w:rsidR="00C9333F">
        <w:rPr>
          <w:color w:val="auto"/>
          <w:sz w:val="24"/>
          <w:szCs w:val="24"/>
          <w:lang w:val="es-MX" w:eastAsia="en-US"/>
        </w:rPr>
        <w:t xml:space="preserve">Convenio Marco de la OMS para el </w:t>
      </w:r>
      <w:r w:rsidR="004F210D">
        <w:rPr>
          <w:color w:val="auto"/>
          <w:sz w:val="24"/>
          <w:szCs w:val="24"/>
          <w:lang w:val="es-MX" w:eastAsia="en-US"/>
        </w:rPr>
        <w:t>C</w:t>
      </w:r>
      <w:r w:rsidR="00C9333F">
        <w:rPr>
          <w:color w:val="auto"/>
          <w:sz w:val="24"/>
          <w:szCs w:val="24"/>
          <w:lang w:val="es-MX" w:eastAsia="en-US"/>
        </w:rPr>
        <w:t>ontrol del Tabaco (</w:t>
      </w:r>
      <w:r w:rsidRPr="000270C4">
        <w:rPr>
          <w:color w:val="auto"/>
          <w:sz w:val="24"/>
          <w:szCs w:val="24"/>
          <w:lang w:val="es-MX" w:eastAsia="en-US"/>
        </w:rPr>
        <w:t>CMCT</w:t>
      </w:r>
      <w:r w:rsidR="00C9333F">
        <w:rPr>
          <w:color w:val="auto"/>
          <w:sz w:val="24"/>
          <w:szCs w:val="24"/>
          <w:lang w:val="es-MX" w:eastAsia="en-US"/>
        </w:rPr>
        <w:t>)</w:t>
      </w:r>
      <w:r w:rsidR="004F210D">
        <w:rPr>
          <w:color w:val="auto"/>
          <w:sz w:val="24"/>
          <w:szCs w:val="24"/>
          <w:lang w:val="es-MX" w:eastAsia="en-US"/>
        </w:rPr>
        <w:t xml:space="preserve"> y las directrices aplicables</w:t>
      </w:r>
      <w:r w:rsidRPr="000270C4">
        <w:rPr>
          <w:color w:val="auto"/>
          <w:sz w:val="24"/>
          <w:szCs w:val="24"/>
          <w:lang w:val="es-MX" w:eastAsia="en-US"/>
        </w:rPr>
        <w:t xml:space="preserve">. </w:t>
      </w:r>
    </w:p>
    <w:p w14:paraId="68AA7D70" w14:textId="30AAB93A" w:rsidR="00522201" w:rsidRDefault="007956FE" w:rsidP="00522201">
      <w:pPr>
        <w:pStyle w:val="Prrafodelista"/>
        <w:numPr>
          <w:ilvl w:val="0"/>
          <w:numId w:val="2"/>
        </w:numPr>
        <w:jc w:val="both"/>
        <w:rPr>
          <w:color w:val="auto"/>
          <w:sz w:val="24"/>
          <w:szCs w:val="24"/>
          <w:lang w:val="es-MX" w:eastAsia="en-US"/>
        </w:rPr>
      </w:pPr>
      <w:r w:rsidRPr="000270C4">
        <w:rPr>
          <w:color w:val="auto"/>
          <w:sz w:val="24"/>
          <w:szCs w:val="24"/>
          <w:lang w:val="es-MX" w:eastAsia="en-US"/>
        </w:rPr>
        <w:t>A las organizaciones de la sociedad civil que promueven la protección del planeta</w:t>
      </w:r>
      <w:r w:rsidR="00C9333F">
        <w:rPr>
          <w:color w:val="auto"/>
          <w:sz w:val="24"/>
          <w:szCs w:val="24"/>
          <w:lang w:val="es-MX" w:eastAsia="en-US"/>
        </w:rPr>
        <w:t>, así como otras que se identifique</w:t>
      </w:r>
      <w:r w:rsidR="00F5261F">
        <w:rPr>
          <w:color w:val="auto"/>
          <w:sz w:val="24"/>
          <w:szCs w:val="24"/>
          <w:lang w:val="es-MX" w:eastAsia="en-US"/>
        </w:rPr>
        <w:t>n</w:t>
      </w:r>
      <w:r w:rsidR="00C9333F">
        <w:rPr>
          <w:color w:val="auto"/>
          <w:sz w:val="24"/>
          <w:szCs w:val="24"/>
          <w:lang w:val="es-MX" w:eastAsia="en-US"/>
        </w:rPr>
        <w:t xml:space="preserve"> con este llamado, </w:t>
      </w:r>
      <w:r w:rsidRPr="000270C4">
        <w:rPr>
          <w:color w:val="auto"/>
          <w:sz w:val="24"/>
          <w:szCs w:val="24"/>
          <w:lang w:val="es-MX" w:eastAsia="en-US"/>
        </w:rPr>
        <w:t>para que se sumen a las reivindicaciones de la agenda de control del tabaco a efecto de integrar agendas en comunidad de intereses.</w:t>
      </w:r>
    </w:p>
    <w:p w14:paraId="008B82B1" w14:textId="76E5F035" w:rsidR="00EE2DFC" w:rsidRPr="00522201" w:rsidRDefault="00EE2DFC" w:rsidP="00522201">
      <w:pPr>
        <w:pStyle w:val="Prrafodelista"/>
        <w:numPr>
          <w:ilvl w:val="0"/>
          <w:numId w:val="2"/>
        </w:numPr>
        <w:jc w:val="both"/>
        <w:rPr>
          <w:color w:val="auto"/>
          <w:sz w:val="24"/>
          <w:szCs w:val="24"/>
          <w:lang w:val="es-MX" w:eastAsia="en-US"/>
        </w:rPr>
      </w:pPr>
      <w:r w:rsidRPr="00522201">
        <w:rPr>
          <w:color w:val="auto"/>
          <w:sz w:val="24"/>
          <w:szCs w:val="24"/>
          <w:lang w:val="es-MX" w:eastAsia="en-US"/>
        </w:rPr>
        <w:t>A los Estados parte del CMCT, incluyendo sus gobiernos y autoridades, así como a aqu</w:t>
      </w:r>
      <w:r w:rsidR="007C308B" w:rsidRPr="00522201">
        <w:rPr>
          <w:color w:val="auto"/>
          <w:sz w:val="24"/>
          <w:szCs w:val="24"/>
          <w:lang w:val="es-MX" w:eastAsia="en-US"/>
        </w:rPr>
        <w:t>e</w:t>
      </w:r>
      <w:r w:rsidRPr="00522201">
        <w:rPr>
          <w:color w:val="auto"/>
          <w:sz w:val="24"/>
          <w:szCs w:val="24"/>
          <w:lang w:val="es-MX" w:eastAsia="en-US"/>
        </w:rPr>
        <w:t xml:space="preserve">llos que no son Estados parte pero que encuentran en las disposiciones del CMCT un referente para avanzar en el desarrollo de sus políticas públicas, a que implementen este tratado de salud pública de manera integral para responsabilizar a la industria tabacalera por su accionar en contra de la salud humana, la vida y el planeta. </w:t>
      </w:r>
    </w:p>
    <w:p w14:paraId="77D79430" w14:textId="4A992EA5" w:rsidR="004F210D" w:rsidRPr="000270C4" w:rsidRDefault="004F210D" w:rsidP="007956FE">
      <w:pPr>
        <w:pStyle w:val="Prrafodelista"/>
        <w:numPr>
          <w:ilvl w:val="0"/>
          <w:numId w:val="2"/>
        </w:numPr>
        <w:jc w:val="both"/>
        <w:rPr>
          <w:color w:val="auto"/>
          <w:sz w:val="24"/>
          <w:szCs w:val="24"/>
          <w:lang w:val="es-MX" w:eastAsia="en-US"/>
        </w:rPr>
      </w:pPr>
      <w:r>
        <w:rPr>
          <w:color w:val="auto"/>
          <w:sz w:val="24"/>
          <w:szCs w:val="24"/>
          <w:lang w:val="es-MX" w:eastAsia="en-US"/>
        </w:rPr>
        <w:lastRenderedPageBreak/>
        <w:t xml:space="preserve">A los gobiernos que todavía no han ratificado el CMCT y el Protocolo para la Eliminación del Comercio Ilícito de Productos de Tabaco (Protocolo), a que encaucen sus esfuerzos para sumarse a los más de 180 Estados parte que han ratificado el tratado de salud pública, así como los más de 60 Estados parte que han ratificado el Protocolo. </w:t>
      </w:r>
      <w:r w:rsidR="005952CB">
        <w:rPr>
          <w:color w:val="auto"/>
          <w:sz w:val="24"/>
          <w:szCs w:val="24"/>
          <w:lang w:val="es-MX" w:eastAsia="en-US"/>
        </w:rPr>
        <w:t xml:space="preserve">Solicitamos a los gobiernos de Argentina y República Dominicana que adopten el CMCT de manera inmediata. </w:t>
      </w:r>
    </w:p>
    <w:p w14:paraId="18F20EB4" w14:textId="0D4E8B05" w:rsidR="007956FE" w:rsidRDefault="007956FE" w:rsidP="004F210D">
      <w:pPr>
        <w:jc w:val="center"/>
      </w:pPr>
      <w:r>
        <w:t>FIRMAN LA DECLARACIÓN</w:t>
      </w:r>
    </w:p>
    <w:tbl>
      <w:tblPr>
        <w:tblStyle w:val="Tablaconcuadrcula4-nfasis5"/>
        <w:tblW w:w="8877" w:type="dxa"/>
        <w:tblInd w:w="-5" w:type="dxa"/>
        <w:tblLook w:val="04A0" w:firstRow="1" w:lastRow="0" w:firstColumn="1" w:lastColumn="0" w:noHBand="0" w:noVBand="1"/>
      </w:tblPr>
      <w:tblGrid>
        <w:gridCol w:w="3828"/>
        <w:gridCol w:w="2409"/>
        <w:gridCol w:w="2640"/>
      </w:tblGrid>
      <w:tr w:rsidR="00B0162C" w:rsidRPr="00B0162C" w14:paraId="221FFFA2" w14:textId="77777777" w:rsidTr="00E77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92ACAE3" w14:textId="77777777" w:rsidR="007956FE" w:rsidRPr="00B0162C" w:rsidRDefault="007956FE" w:rsidP="00327A39">
            <w:pPr>
              <w:spacing w:line="60" w:lineRule="atLeast"/>
              <w:jc w:val="center"/>
              <w:rPr>
                <w:b w:val="0"/>
                <w:bCs w:val="0"/>
                <w:color w:val="auto"/>
                <w:sz w:val="22"/>
                <w:szCs w:val="22"/>
                <w:lang w:val="es-ES_tradnl"/>
              </w:rPr>
            </w:pPr>
            <w:r w:rsidRPr="00B0162C">
              <w:rPr>
                <w:b w:val="0"/>
                <w:bCs w:val="0"/>
                <w:color w:val="auto"/>
                <w:sz w:val="22"/>
                <w:szCs w:val="22"/>
                <w:lang w:val="es-ES_tradnl"/>
              </w:rPr>
              <w:t xml:space="preserve">Organización </w:t>
            </w:r>
          </w:p>
        </w:tc>
        <w:tc>
          <w:tcPr>
            <w:tcW w:w="2409" w:type="dxa"/>
          </w:tcPr>
          <w:p w14:paraId="19B6227C" w14:textId="77777777" w:rsidR="007956FE" w:rsidRPr="00B0162C" w:rsidRDefault="007956FE" w:rsidP="00327A39">
            <w:pPr>
              <w:spacing w:line="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  <w:lang w:val="es-ES_tradnl"/>
              </w:rPr>
            </w:pPr>
            <w:r w:rsidRPr="00B0162C">
              <w:rPr>
                <w:b w:val="0"/>
                <w:bCs w:val="0"/>
                <w:color w:val="auto"/>
                <w:sz w:val="22"/>
                <w:szCs w:val="22"/>
                <w:lang w:val="es-ES_tradnl"/>
              </w:rPr>
              <w:t>País</w:t>
            </w:r>
          </w:p>
        </w:tc>
        <w:tc>
          <w:tcPr>
            <w:tcW w:w="2640" w:type="dxa"/>
          </w:tcPr>
          <w:p w14:paraId="7B55B57A" w14:textId="77777777" w:rsidR="007956FE" w:rsidRPr="00B0162C" w:rsidRDefault="007956FE" w:rsidP="00327A39">
            <w:pPr>
              <w:spacing w:line="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  <w:lang w:val="es-ES_tradnl"/>
              </w:rPr>
            </w:pPr>
            <w:r w:rsidRPr="00B0162C">
              <w:rPr>
                <w:b w:val="0"/>
                <w:bCs w:val="0"/>
                <w:color w:val="auto"/>
                <w:sz w:val="22"/>
                <w:szCs w:val="22"/>
                <w:lang w:val="es-ES_tradnl"/>
              </w:rPr>
              <w:t>Responsable</w:t>
            </w:r>
          </w:p>
        </w:tc>
      </w:tr>
      <w:tr w:rsidR="00B0162C" w:rsidRPr="00B0162C" w14:paraId="2331C4B6" w14:textId="77777777" w:rsidTr="00E77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0B8A957" w14:textId="622F90DC" w:rsidR="00B30D69" w:rsidRPr="00B0162C" w:rsidRDefault="00B30D69" w:rsidP="00327A39">
            <w:pPr>
              <w:pStyle w:val="Prrafodelista"/>
              <w:numPr>
                <w:ilvl w:val="0"/>
                <w:numId w:val="4"/>
              </w:numPr>
              <w:tabs>
                <w:tab w:val="left" w:pos="319"/>
                <w:tab w:val="left" w:pos="602"/>
              </w:tabs>
              <w:spacing w:after="0" w:line="60" w:lineRule="atLeast"/>
              <w:ind w:left="0"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val="es-ES_tradnl"/>
              </w:rPr>
            </w:pPr>
            <w:proofErr w:type="spellStart"/>
            <w:r w:rsidRPr="00B0162C">
              <w:rPr>
                <w:b w:val="0"/>
                <w:bCs w:val="0"/>
                <w:color w:val="auto"/>
                <w:sz w:val="22"/>
                <w:szCs w:val="22"/>
                <w:lang w:val="es-ES_tradnl"/>
              </w:rPr>
              <w:t>Corporate</w:t>
            </w:r>
            <w:proofErr w:type="spellEnd"/>
            <w:r w:rsidRPr="00B0162C">
              <w:rPr>
                <w:b w:val="0"/>
                <w:bCs w:val="0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B0162C">
              <w:rPr>
                <w:b w:val="0"/>
                <w:bCs w:val="0"/>
                <w:color w:val="auto"/>
                <w:sz w:val="22"/>
                <w:szCs w:val="22"/>
                <w:lang w:val="es-ES_tradnl"/>
              </w:rPr>
              <w:t>Accountability</w:t>
            </w:r>
            <w:proofErr w:type="spellEnd"/>
          </w:p>
        </w:tc>
        <w:tc>
          <w:tcPr>
            <w:tcW w:w="2409" w:type="dxa"/>
          </w:tcPr>
          <w:p w14:paraId="17452754" w14:textId="394065A3" w:rsidR="00B30D69" w:rsidRPr="00B0162C" w:rsidRDefault="00B30D69" w:rsidP="00327A39">
            <w:pPr>
              <w:spacing w:line="6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  <w:r w:rsidRPr="00B0162C">
              <w:rPr>
                <w:sz w:val="22"/>
                <w:szCs w:val="22"/>
                <w:lang w:val="es-ES_tradnl"/>
              </w:rPr>
              <w:t>Oficina Regional AL</w:t>
            </w:r>
          </w:p>
        </w:tc>
        <w:tc>
          <w:tcPr>
            <w:tcW w:w="2640" w:type="dxa"/>
          </w:tcPr>
          <w:p w14:paraId="5302883F" w14:textId="41A42ACE" w:rsidR="00B30D69" w:rsidRPr="00B0162C" w:rsidRDefault="00B30D69" w:rsidP="00327A39">
            <w:pPr>
              <w:spacing w:line="6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  <w:r w:rsidRPr="00B0162C">
              <w:rPr>
                <w:sz w:val="22"/>
                <w:szCs w:val="22"/>
                <w:lang w:val="es-ES_tradnl"/>
              </w:rPr>
              <w:t>Daniel Dorado</w:t>
            </w:r>
          </w:p>
        </w:tc>
      </w:tr>
      <w:tr w:rsidR="00B0162C" w:rsidRPr="00B0162C" w14:paraId="0402885F" w14:textId="77777777" w:rsidTr="00E77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F649BB1" w14:textId="2B4A13BA" w:rsidR="00B30D69" w:rsidRPr="00B0162C" w:rsidRDefault="00B30D69" w:rsidP="00327A39">
            <w:pPr>
              <w:pStyle w:val="Prrafodelista"/>
              <w:numPr>
                <w:ilvl w:val="0"/>
                <w:numId w:val="4"/>
              </w:numPr>
              <w:tabs>
                <w:tab w:val="left" w:pos="319"/>
                <w:tab w:val="left" w:pos="602"/>
              </w:tabs>
              <w:spacing w:after="0" w:line="60" w:lineRule="atLeast"/>
              <w:ind w:left="0"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val="es-ES_tradnl"/>
              </w:rPr>
            </w:pPr>
            <w:r w:rsidRPr="00B0162C">
              <w:rPr>
                <w:b w:val="0"/>
                <w:bCs w:val="0"/>
                <w:color w:val="auto"/>
                <w:sz w:val="22"/>
                <w:szCs w:val="22"/>
                <w:lang w:val="es-ES_tradnl"/>
              </w:rPr>
              <w:t>FIC Argentina</w:t>
            </w:r>
          </w:p>
        </w:tc>
        <w:tc>
          <w:tcPr>
            <w:tcW w:w="2409" w:type="dxa"/>
          </w:tcPr>
          <w:p w14:paraId="21B58063" w14:textId="53CA4A81" w:rsidR="00B30D69" w:rsidRPr="00B0162C" w:rsidRDefault="00B30D69" w:rsidP="00327A39">
            <w:pPr>
              <w:spacing w:line="6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  <w:r w:rsidRPr="00B0162C">
              <w:rPr>
                <w:sz w:val="22"/>
                <w:szCs w:val="22"/>
                <w:lang w:val="es-ES_tradnl"/>
              </w:rPr>
              <w:t>Argentina</w:t>
            </w:r>
          </w:p>
        </w:tc>
        <w:tc>
          <w:tcPr>
            <w:tcW w:w="2640" w:type="dxa"/>
          </w:tcPr>
          <w:p w14:paraId="4B0B1A73" w14:textId="5011AF53" w:rsidR="00B30D69" w:rsidRPr="00B0162C" w:rsidRDefault="00B30D69" w:rsidP="00327A39">
            <w:pPr>
              <w:spacing w:line="6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  <w:r w:rsidRPr="00B0162C">
              <w:rPr>
                <w:sz w:val="22"/>
                <w:szCs w:val="22"/>
                <w:lang w:val="es-ES_tradnl"/>
              </w:rPr>
              <w:t>Marita Pizarro</w:t>
            </w:r>
          </w:p>
        </w:tc>
      </w:tr>
      <w:tr w:rsidR="00B0162C" w:rsidRPr="00B0162C" w14:paraId="7C6E4297" w14:textId="77777777" w:rsidTr="00E77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09EBC7F" w14:textId="7CA67641" w:rsidR="007956FE" w:rsidRPr="00B0162C" w:rsidRDefault="00B30D69" w:rsidP="00327A39">
            <w:pPr>
              <w:pStyle w:val="Prrafodelista"/>
              <w:numPr>
                <w:ilvl w:val="0"/>
                <w:numId w:val="4"/>
              </w:numPr>
              <w:tabs>
                <w:tab w:val="left" w:pos="319"/>
                <w:tab w:val="left" w:pos="602"/>
              </w:tabs>
              <w:spacing w:after="0" w:line="60" w:lineRule="atLeast"/>
              <w:ind w:left="0"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val="es-ES_tradnl"/>
              </w:rPr>
            </w:pPr>
            <w:r w:rsidRPr="00B0162C">
              <w:rPr>
                <w:b w:val="0"/>
                <w:bCs w:val="0"/>
                <w:color w:val="auto"/>
                <w:sz w:val="22"/>
                <w:szCs w:val="22"/>
                <w:lang w:val="es-ES_tradnl"/>
              </w:rPr>
              <w:t xml:space="preserve">ACT </w:t>
            </w:r>
            <w:proofErr w:type="spellStart"/>
            <w:r w:rsidRPr="00B0162C">
              <w:rPr>
                <w:b w:val="0"/>
                <w:bCs w:val="0"/>
                <w:color w:val="auto"/>
                <w:sz w:val="22"/>
                <w:szCs w:val="22"/>
                <w:lang w:val="es-ES_tradnl"/>
              </w:rPr>
              <w:t>Promoção</w:t>
            </w:r>
            <w:proofErr w:type="spellEnd"/>
            <w:r w:rsidRPr="00B0162C">
              <w:rPr>
                <w:b w:val="0"/>
                <w:bCs w:val="0"/>
                <w:color w:val="auto"/>
                <w:sz w:val="22"/>
                <w:szCs w:val="22"/>
                <w:lang w:val="es-ES_tradnl"/>
              </w:rPr>
              <w:t xml:space="preserve"> da </w:t>
            </w:r>
            <w:proofErr w:type="spellStart"/>
            <w:r w:rsidRPr="00B0162C">
              <w:rPr>
                <w:b w:val="0"/>
                <w:bCs w:val="0"/>
                <w:color w:val="auto"/>
                <w:sz w:val="22"/>
                <w:szCs w:val="22"/>
                <w:lang w:val="es-ES_tradnl"/>
              </w:rPr>
              <w:t>Saúde</w:t>
            </w:r>
            <w:proofErr w:type="spellEnd"/>
          </w:p>
        </w:tc>
        <w:tc>
          <w:tcPr>
            <w:tcW w:w="2409" w:type="dxa"/>
          </w:tcPr>
          <w:p w14:paraId="24B23B64" w14:textId="651DA143" w:rsidR="007956FE" w:rsidRPr="00B0162C" w:rsidRDefault="00B30D69" w:rsidP="00327A39">
            <w:pPr>
              <w:spacing w:line="6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  <w:r w:rsidRPr="00B0162C">
              <w:rPr>
                <w:sz w:val="22"/>
                <w:szCs w:val="22"/>
                <w:lang w:val="es-ES_tradnl"/>
              </w:rPr>
              <w:t>Brasil</w:t>
            </w:r>
          </w:p>
        </w:tc>
        <w:tc>
          <w:tcPr>
            <w:tcW w:w="2640" w:type="dxa"/>
          </w:tcPr>
          <w:p w14:paraId="649D2A57" w14:textId="3F16C280" w:rsidR="007956FE" w:rsidRPr="00B0162C" w:rsidRDefault="00B30D69" w:rsidP="00327A39">
            <w:pPr>
              <w:spacing w:line="6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  <w:proofErr w:type="spellStart"/>
            <w:r w:rsidRPr="00B0162C">
              <w:rPr>
                <w:sz w:val="22"/>
                <w:szCs w:val="22"/>
                <w:lang w:val="es-ES_tradnl"/>
              </w:rPr>
              <w:t>Mônica</w:t>
            </w:r>
            <w:proofErr w:type="spellEnd"/>
            <w:r w:rsidRPr="00B0162C">
              <w:rPr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B0162C">
              <w:rPr>
                <w:sz w:val="22"/>
                <w:szCs w:val="22"/>
                <w:lang w:val="es-ES_tradnl"/>
              </w:rPr>
              <w:t>Andreis</w:t>
            </w:r>
            <w:proofErr w:type="spellEnd"/>
          </w:p>
        </w:tc>
      </w:tr>
      <w:tr w:rsidR="00B0162C" w:rsidRPr="00B0162C" w14:paraId="3DD3FF97" w14:textId="77777777" w:rsidTr="00E77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F374423" w14:textId="5C687E35" w:rsidR="00586948" w:rsidRPr="00B0162C" w:rsidRDefault="00586948" w:rsidP="00327A39">
            <w:pPr>
              <w:pStyle w:val="Prrafodelista"/>
              <w:numPr>
                <w:ilvl w:val="0"/>
                <w:numId w:val="4"/>
              </w:numPr>
              <w:tabs>
                <w:tab w:val="left" w:pos="319"/>
                <w:tab w:val="left" w:pos="602"/>
              </w:tabs>
              <w:spacing w:after="0" w:line="60" w:lineRule="atLeast"/>
              <w:ind w:left="0"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val="es-ES_tradnl"/>
              </w:rPr>
            </w:pPr>
            <w:r w:rsidRPr="00B0162C">
              <w:rPr>
                <w:b w:val="0"/>
                <w:bCs w:val="0"/>
                <w:color w:val="auto"/>
                <w:sz w:val="22"/>
                <w:szCs w:val="22"/>
                <w:lang w:val="es-ES_tradnl"/>
              </w:rPr>
              <w:t>Alianza por la Salud</w:t>
            </w:r>
          </w:p>
        </w:tc>
        <w:tc>
          <w:tcPr>
            <w:tcW w:w="2409" w:type="dxa"/>
          </w:tcPr>
          <w:p w14:paraId="463DB9E6" w14:textId="252D8362" w:rsidR="00586948" w:rsidRPr="00B0162C" w:rsidRDefault="00586948" w:rsidP="00327A39">
            <w:pPr>
              <w:spacing w:line="6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  <w:r w:rsidRPr="00B0162C">
              <w:rPr>
                <w:sz w:val="22"/>
                <w:szCs w:val="22"/>
                <w:lang w:val="es-ES_tradnl"/>
              </w:rPr>
              <w:t>Bolivia</w:t>
            </w:r>
          </w:p>
        </w:tc>
        <w:tc>
          <w:tcPr>
            <w:tcW w:w="2640" w:type="dxa"/>
          </w:tcPr>
          <w:p w14:paraId="49117576" w14:textId="15FF187C" w:rsidR="00586948" w:rsidRPr="00B0162C" w:rsidRDefault="00586948" w:rsidP="00327A39">
            <w:pPr>
              <w:spacing w:line="6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  <w:r w:rsidRPr="00B0162C">
              <w:rPr>
                <w:sz w:val="22"/>
                <w:szCs w:val="22"/>
                <w:lang w:val="es-ES_tradnl"/>
              </w:rPr>
              <w:t xml:space="preserve">Alejandra Karina Garrón M. </w:t>
            </w:r>
          </w:p>
        </w:tc>
      </w:tr>
      <w:tr w:rsidR="00B0162C" w:rsidRPr="00B0162C" w14:paraId="26E72FCB" w14:textId="77777777" w:rsidTr="00E77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FECE8A8" w14:textId="1DF92429" w:rsidR="00B0162C" w:rsidRPr="00B0162C" w:rsidRDefault="00B0162C" w:rsidP="00327A39">
            <w:pPr>
              <w:pStyle w:val="Prrafodelista"/>
              <w:numPr>
                <w:ilvl w:val="0"/>
                <w:numId w:val="4"/>
              </w:numPr>
              <w:tabs>
                <w:tab w:val="left" w:pos="319"/>
                <w:tab w:val="left" w:pos="602"/>
              </w:tabs>
              <w:spacing w:after="0" w:line="60" w:lineRule="atLeast"/>
              <w:ind w:left="0"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val="es-ES_tradnl"/>
              </w:rPr>
            </w:pPr>
            <w:r w:rsidRPr="00B0162C">
              <w:rPr>
                <w:b w:val="0"/>
                <w:bCs w:val="0"/>
                <w:color w:val="auto"/>
                <w:sz w:val="22"/>
                <w:szCs w:val="22"/>
                <w:lang w:val="es-ES_tradnl"/>
              </w:rPr>
              <w:t xml:space="preserve">Fundación </w:t>
            </w:r>
            <w:proofErr w:type="spellStart"/>
            <w:r w:rsidRPr="00B0162C">
              <w:rPr>
                <w:b w:val="0"/>
                <w:bCs w:val="0"/>
                <w:color w:val="auto"/>
                <w:sz w:val="22"/>
                <w:szCs w:val="22"/>
                <w:lang w:val="es-ES_tradnl"/>
              </w:rPr>
              <w:t>Anáas</w:t>
            </w:r>
            <w:proofErr w:type="spellEnd"/>
          </w:p>
        </w:tc>
        <w:tc>
          <w:tcPr>
            <w:tcW w:w="2409" w:type="dxa"/>
          </w:tcPr>
          <w:p w14:paraId="7EA63C96" w14:textId="49B566B2" w:rsidR="00B0162C" w:rsidRPr="00B0162C" w:rsidRDefault="00B0162C" w:rsidP="00327A39">
            <w:pPr>
              <w:spacing w:line="6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  <w:r w:rsidRPr="00B0162C">
              <w:rPr>
                <w:sz w:val="22"/>
                <w:szCs w:val="22"/>
                <w:lang w:val="es-ES_tradnl"/>
              </w:rPr>
              <w:t>Colombia</w:t>
            </w:r>
          </w:p>
        </w:tc>
        <w:tc>
          <w:tcPr>
            <w:tcW w:w="2640" w:type="dxa"/>
          </w:tcPr>
          <w:p w14:paraId="4A6F323D" w14:textId="3276A0CC" w:rsidR="00B0162C" w:rsidRPr="00B0162C" w:rsidRDefault="00B0162C" w:rsidP="00327A39">
            <w:pPr>
              <w:spacing w:line="6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  <w:r w:rsidRPr="00B0162C">
              <w:rPr>
                <w:sz w:val="22"/>
                <w:szCs w:val="22"/>
                <w:lang w:val="es-ES_tradnl"/>
              </w:rPr>
              <w:t>Blanca Amalia Llorente</w:t>
            </w:r>
          </w:p>
        </w:tc>
      </w:tr>
      <w:tr w:rsidR="00B0162C" w:rsidRPr="00B0162C" w14:paraId="1F3F6B33" w14:textId="77777777" w:rsidTr="00E77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2CFD85C8" w14:textId="6717B5A4" w:rsidR="007956FE" w:rsidRPr="00B0162C" w:rsidRDefault="00B30D69" w:rsidP="00327A39">
            <w:pPr>
              <w:pStyle w:val="Prrafodelista"/>
              <w:numPr>
                <w:ilvl w:val="0"/>
                <w:numId w:val="4"/>
              </w:numPr>
              <w:tabs>
                <w:tab w:val="left" w:pos="319"/>
                <w:tab w:val="left" w:pos="602"/>
              </w:tabs>
              <w:spacing w:after="0" w:line="60" w:lineRule="atLeast"/>
              <w:ind w:left="0"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val="es-ES_tradnl"/>
              </w:rPr>
            </w:pPr>
            <w:r w:rsidRPr="00B0162C">
              <w:rPr>
                <w:b w:val="0"/>
                <w:bCs w:val="0"/>
                <w:color w:val="auto"/>
                <w:sz w:val="22"/>
                <w:szCs w:val="22"/>
                <w:lang w:val="es-ES_tradnl"/>
              </w:rPr>
              <w:t>Salud Justa MX</w:t>
            </w:r>
          </w:p>
        </w:tc>
        <w:tc>
          <w:tcPr>
            <w:tcW w:w="2409" w:type="dxa"/>
          </w:tcPr>
          <w:p w14:paraId="150204ED" w14:textId="50EF7D14" w:rsidR="007956FE" w:rsidRPr="00B0162C" w:rsidRDefault="00B30D69" w:rsidP="00327A39">
            <w:pPr>
              <w:spacing w:line="6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  <w:r w:rsidRPr="00B0162C">
              <w:rPr>
                <w:sz w:val="22"/>
                <w:szCs w:val="22"/>
                <w:lang w:val="es-ES_tradnl"/>
              </w:rPr>
              <w:t>México</w:t>
            </w:r>
          </w:p>
        </w:tc>
        <w:tc>
          <w:tcPr>
            <w:tcW w:w="2640" w:type="dxa"/>
          </w:tcPr>
          <w:p w14:paraId="0983C594" w14:textId="55D06D96" w:rsidR="007956FE" w:rsidRPr="00B0162C" w:rsidRDefault="00B30D69" w:rsidP="00327A39">
            <w:pPr>
              <w:spacing w:line="6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  <w:r w:rsidRPr="00B0162C">
              <w:rPr>
                <w:sz w:val="22"/>
                <w:szCs w:val="22"/>
                <w:lang w:val="es-ES_tradnl"/>
              </w:rPr>
              <w:t>Erick Antonio Ochoa</w:t>
            </w:r>
          </w:p>
        </w:tc>
      </w:tr>
      <w:tr w:rsidR="00B0162C" w:rsidRPr="00B0162C" w14:paraId="71C870A0" w14:textId="77777777" w:rsidTr="00E77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F00525A" w14:textId="4E0BE355" w:rsidR="007956FE" w:rsidRPr="00B0162C" w:rsidRDefault="00586948" w:rsidP="00327A39">
            <w:pPr>
              <w:pStyle w:val="Prrafodelista"/>
              <w:numPr>
                <w:ilvl w:val="0"/>
                <w:numId w:val="4"/>
              </w:numPr>
              <w:tabs>
                <w:tab w:val="left" w:pos="319"/>
                <w:tab w:val="left" w:pos="602"/>
              </w:tabs>
              <w:spacing w:after="0" w:line="60" w:lineRule="atLeast"/>
              <w:ind w:left="0"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val="es-ES_tradnl"/>
              </w:rPr>
            </w:pPr>
            <w:r w:rsidRPr="00B0162C">
              <w:rPr>
                <w:b w:val="0"/>
                <w:bCs w:val="0"/>
                <w:color w:val="auto"/>
                <w:sz w:val="22"/>
                <w:szCs w:val="22"/>
                <w:lang w:val="es-ES_tradnl"/>
              </w:rPr>
              <w:t>CIET Uruguay</w:t>
            </w:r>
          </w:p>
        </w:tc>
        <w:tc>
          <w:tcPr>
            <w:tcW w:w="2409" w:type="dxa"/>
          </w:tcPr>
          <w:p w14:paraId="2A6423D5" w14:textId="3921D98C" w:rsidR="007956FE" w:rsidRPr="00B0162C" w:rsidRDefault="00586948" w:rsidP="00327A39">
            <w:pPr>
              <w:spacing w:line="6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  <w:r w:rsidRPr="00B0162C">
              <w:rPr>
                <w:sz w:val="22"/>
                <w:szCs w:val="22"/>
                <w:lang w:val="es-ES_tradnl"/>
              </w:rPr>
              <w:t>Uruguay</w:t>
            </w:r>
          </w:p>
        </w:tc>
        <w:tc>
          <w:tcPr>
            <w:tcW w:w="2640" w:type="dxa"/>
          </w:tcPr>
          <w:p w14:paraId="5EBF73C0" w14:textId="3B96D9C7" w:rsidR="007956FE" w:rsidRPr="00B0162C" w:rsidRDefault="00586948" w:rsidP="00327A39">
            <w:pPr>
              <w:spacing w:line="6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  <w:r w:rsidRPr="00B0162C">
              <w:rPr>
                <w:sz w:val="22"/>
                <w:szCs w:val="22"/>
                <w:lang w:val="es-ES_tradnl"/>
              </w:rPr>
              <w:t>Diego Rodríguez</w:t>
            </w:r>
          </w:p>
        </w:tc>
      </w:tr>
      <w:tr w:rsidR="00B0162C" w:rsidRPr="00B0162C" w14:paraId="64C78C6B" w14:textId="77777777" w:rsidTr="00E77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195AF33" w14:textId="05E4092A" w:rsidR="007956FE" w:rsidRPr="00B0162C" w:rsidRDefault="00B0162C" w:rsidP="00327A39">
            <w:pPr>
              <w:pStyle w:val="Prrafodelista"/>
              <w:numPr>
                <w:ilvl w:val="0"/>
                <w:numId w:val="4"/>
              </w:numPr>
              <w:tabs>
                <w:tab w:val="left" w:pos="319"/>
                <w:tab w:val="left" w:pos="602"/>
              </w:tabs>
              <w:spacing w:after="0" w:line="60" w:lineRule="atLeast"/>
              <w:ind w:left="0"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 w:rsidRPr="00B0162C">
              <w:rPr>
                <w:b w:val="0"/>
                <w:bCs w:val="0"/>
                <w:color w:val="auto"/>
                <w:sz w:val="22"/>
                <w:szCs w:val="22"/>
                <w:lang w:val="en-US"/>
              </w:rPr>
              <w:t>Campaign for Tobacco-Free Kids</w:t>
            </w:r>
          </w:p>
        </w:tc>
        <w:tc>
          <w:tcPr>
            <w:tcW w:w="2409" w:type="dxa"/>
          </w:tcPr>
          <w:p w14:paraId="566F01C8" w14:textId="646A9F0C" w:rsidR="007956FE" w:rsidRPr="00B0162C" w:rsidRDefault="00B0162C" w:rsidP="00327A39">
            <w:pPr>
              <w:spacing w:line="6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  <w:r w:rsidRPr="00B0162C">
              <w:rPr>
                <w:sz w:val="22"/>
                <w:szCs w:val="22"/>
                <w:lang w:val="es-ES_tradnl"/>
              </w:rPr>
              <w:t xml:space="preserve">Oficina Regional AL </w:t>
            </w:r>
          </w:p>
        </w:tc>
        <w:tc>
          <w:tcPr>
            <w:tcW w:w="2640" w:type="dxa"/>
          </w:tcPr>
          <w:p w14:paraId="7BA42FB7" w14:textId="2903B5BE" w:rsidR="007956FE" w:rsidRPr="00B0162C" w:rsidRDefault="00B0162C" w:rsidP="00327A39">
            <w:pPr>
              <w:spacing w:line="6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  <w:r w:rsidRPr="00B0162C">
              <w:rPr>
                <w:sz w:val="22"/>
                <w:szCs w:val="22"/>
                <w:lang w:val="es-ES_tradnl"/>
              </w:rPr>
              <w:t>Patricia Sosa</w:t>
            </w:r>
          </w:p>
        </w:tc>
      </w:tr>
      <w:tr w:rsidR="00E7749B" w:rsidRPr="00E7749B" w14:paraId="76A3267B" w14:textId="77777777" w:rsidTr="00E77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7372E018" w14:textId="15F8AE8E" w:rsidR="00E7749B" w:rsidRPr="00E7749B" w:rsidRDefault="00E7749B" w:rsidP="00327A39">
            <w:pPr>
              <w:pStyle w:val="Prrafodelista"/>
              <w:numPr>
                <w:ilvl w:val="0"/>
                <w:numId w:val="4"/>
              </w:numPr>
              <w:tabs>
                <w:tab w:val="left" w:pos="319"/>
                <w:tab w:val="left" w:pos="602"/>
              </w:tabs>
              <w:spacing w:after="0" w:line="60" w:lineRule="atLeast"/>
              <w:ind w:left="0"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val="en-US"/>
              </w:rPr>
              <w:t>RENATA</w:t>
            </w:r>
          </w:p>
        </w:tc>
        <w:tc>
          <w:tcPr>
            <w:tcW w:w="2409" w:type="dxa"/>
          </w:tcPr>
          <w:p w14:paraId="190BDBED" w14:textId="7565A113" w:rsidR="00E7749B" w:rsidRPr="00E7749B" w:rsidRDefault="00E7749B" w:rsidP="00327A39">
            <w:pPr>
              <w:spacing w:line="6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Costa Rica </w:t>
            </w:r>
          </w:p>
        </w:tc>
        <w:tc>
          <w:tcPr>
            <w:tcW w:w="2640" w:type="dxa"/>
          </w:tcPr>
          <w:p w14:paraId="7700D974" w14:textId="7472DDEE" w:rsidR="00E7749B" w:rsidRPr="00E7749B" w:rsidRDefault="00E7749B" w:rsidP="00327A39">
            <w:pPr>
              <w:spacing w:line="6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Teresita Arrieta</w:t>
            </w:r>
          </w:p>
        </w:tc>
      </w:tr>
      <w:tr w:rsidR="00327A39" w:rsidRPr="00327A39" w14:paraId="3FCB585F" w14:textId="77777777" w:rsidTr="00E77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6EDF85C" w14:textId="4A49FF8D" w:rsidR="00327A39" w:rsidRPr="00327A39" w:rsidRDefault="00327A39" w:rsidP="00327A39">
            <w:pPr>
              <w:pStyle w:val="Prrafodelista"/>
              <w:numPr>
                <w:ilvl w:val="0"/>
                <w:numId w:val="4"/>
              </w:numPr>
              <w:tabs>
                <w:tab w:val="left" w:pos="319"/>
                <w:tab w:val="left" w:pos="602"/>
              </w:tabs>
              <w:spacing w:after="0" w:line="60" w:lineRule="atLeast"/>
              <w:ind w:left="0"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val="en-US"/>
              </w:rPr>
              <w:t>CEDRO</w:t>
            </w:r>
          </w:p>
        </w:tc>
        <w:tc>
          <w:tcPr>
            <w:tcW w:w="2409" w:type="dxa"/>
          </w:tcPr>
          <w:p w14:paraId="725D9F3C" w14:textId="34CC80B1" w:rsidR="00327A39" w:rsidRPr="00327A39" w:rsidRDefault="00327A39" w:rsidP="00327A39">
            <w:pPr>
              <w:spacing w:line="6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Perú</w:t>
            </w:r>
          </w:p>
        </w:tc>
        <w:tc>
          <w:tcPr>
            <w:tcW w:w="2640" w:type="dxa"/>
          </w:tcPr>
          <w:p w14:paraId="0CB2BB62" w14:textId="019A07EC" w:rsidR="00327A39" w:rsidRPr="00327A39" w:rsidRDefault="00327A39" w:rsidP="00327A39">
            <w:pPr>
              <w:spacing w:line="6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Carmen Barco</w:t>
            </w:r>
          </w:p>
        </w:tc>
      </w:tr>
      <w:tr w:rsidR="00B0162C" w:rsidRPr="00B0162C" w14:paraId="4B0E4A80" w14:textId="77777777" w:rsidTr="00E77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662D856" w14:textId="1C98581C" w:rsidR="007956FE" w:rsidRPr="00B0162C" w:rsidRDefault="00327A39" w:rsidP="00327A39">
            <w:pPr>
              <w:pStyle w:val="Prrafodelista"/>
              <w:numPr>
                <w:ilvl w:val="0"/>
                <w:numId w:val="4"/>
              </w:numPr>
              <w:tabs>
                <w:tab w:val="left" w:pos="319"/>
                <w:tab w:val="left" w:pos="602"/>
              </w:tabs>
              <w:spacing w:after="0" w:line="60" w:lineRule="atLeast"/>
              <w:ind w:left="0"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val="es-ES_tradnl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val="es-ES_tradnl"/>
              </w:rPr>
              <w:t>Alianza ENT-Perú</w:t>
            </w:r>
          </w:p>
        </w:tc>
        <w:tc>
          <w:tcPr>
            <w:tcW w:w="2409" w:type="dxa"/>
          </w:tcPr>
          <w:p w14:paraId="29123190" w14:textId="58E9A710" w:rsidR="007956FE" w:rsidRPr="00B0162C" w:rsidRDefault="00327A39" w:rsidP="00327A39">
            <w:pPr>
              <w:spacing w:line="6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Perú</w:t>
            </w:r>
          </w:p>
        </w:tc>
        <w:tc>
          <w:tcPr>
            <w:tcW w:w="2640" w:type="dxa"/>
          </w:tcPr>
          <w:p w14:paraId="3A041E61" w14:textId="1C6C1DF4" w:rsidR="007956FE" w:rsidRPr="00B0162C" w:rsidRDefault="00327A39" w:rsidP="00327A39">
            <w:pPr>
              <w:spacing w:line="6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Carlos Farías A. </w:t>
            </w:r>
          </w:p>
        </w:tc>
      </w:tr>
      <w:tr w:rsidR="00B0162C" w:rsidRPr="00B0162C" w14:paraId="30D5000A" w14:textId="77777777" w:rsidTr="00E77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7E4CF37A" w14:textId="0F85DA44" w:rsidR="007956FE" w:rsidRPr="00B0162C" w:rsidRDefault="00327A39" w:rsidP="00327A39">
            <w:pPr>
              <w:pStyle w:val="Prrafodelista"/>
              <w:numPr>
                <w:ilvl w:val="0"/>
                <w:numId w:val="4"/>
              </w:numPr>
              <w:tabs>
                <w:tab w:val="left" w:pos="319"/>
                <w:tab w:val="left" w:pos="602"/>
              </w:tabs>
              <w:spacing w:after="0" w:line="60" w:lineRule="atLeast"/>
              <w:ind w:left="0"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val="es-ES_tradnl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val="es-ES_tradnl"/>
              </w:rPr>
              <w:t>SUMATE</w:t>
            </w:r>
          </w:p>
        </w:tc>
        <w:tc>
          <w:tcPr>
            <w:tcW w:w="2409" w:type="dxa"/>
          </w:tcPr>
          <w:p w14:paraId="69258D7F" w14:textId="220B099F" w:rsidR="007956FE" w:rsidRPr="00B0162C" w:rsidRDefault="00327A39" w:rsidP="00327A39">
            <w:pPr>
              <w:spacing w:line="6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El Salvador </w:t>
            </w:r>
          </w:p>
        </w:tc>
        <w:tc>
          <w:tcPr>
            <w:tcW w:w="2640" w:type="dxa"/>
          </w:tcPr>
          <w:p w14:paraId="60B23CD7" w14:textId="00FF3229" w:rsidR="007956FE" w:rsidRPr="00B0162C" w:rsidRDefault="00327A39" w:rsidP="00327A39">
            <w:pPr>
              <w:spacing w:line="6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Violeta Palomo y Elena Zúñiga</w:t>
            </w:r>
          </w:p>
        </w:tc>
      </w:tr>
      <w:tr w:rsidR="00B0162C" w:rsidRPr="00B0162C" w14:paraId="5288A829" w14:textId="77777777" w:rsidTr="00E77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766F43BD" w14:textId="0A82D60C" w:rsidR="007956FE" w:rsidRPr="00B0162C" w:rsidRDefault="00327A39" w:rsidP="00327A39">
            <w:pPr>
              <w:pStyle w:val="Prrafodelista"/>
              <w:numPr>
                <w:ilvl w:val="0"/>
                <w:numId w:val="4"/>
              </w:numPr>
              <w:tabs>
                <w:tab w:val="left" w:pos="319"/>
                <w:tab w:val="left" w:pos="602"/>
              </w:tabs>
              <w:spacing w:after="0" w:line="60" w:lineRule="atLeast"/>
              <w:ind w:left="0"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val="es-ES_tradnl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val="es-ES_tradnl"/>
              </w:rPr>
              <w:t>Consumidores y Usuarios Asociados de Uruguay</w:t>
            </w:r>
          </w:p>
        </w:tc>
        <w:tc>
          <w:tcPr>
            <w:tcW w:w="2409" w:type="dxa"/>
          </w:tcPr>
          <w:p w14:paraId="2586AE23" w14:textId="76083623" w:rsidR="007956FE" w:rsidRPr="00B0162C" w:rsidRDefault="00327A39" w:rsidP="00327A39">
            <w:pPr>
              <w:spacing w:line="6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Uruguay</w:t>
            </w:r>
          </w:p>
        </w:tc>
        <w:tc>
          <w:tcPr>
            <w:tcW w:w="2640" w:type="dxa"/>
          </w:tcPr>
          <w:p w14:paraId="3AD32D96" w14:textId="4D428D3E" w:rsidR="007956FE" w:rsidRPr="00B0162C" w:rsidRDefault="00327A39" w:rsidP="00327A39">
            <w:pPr>
              <w:spacing w:line="6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Raquel Sánchez</w:t>
            </w:r>
          </w:p>
        </w:tc>
      </w:tr>
      <w:tr w:rsidR="00B0162C" w:rsidRPr="00B0162C" w14:paraId="036CF7A3" w14:textId="77777777" w:rsidTr="00E77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FA81079" w14:textId="6F5041AA" w:rsidR="007956FE" w:rsidRPr="00B0162C" w:rsidRDefault="00E7749B" w:rsidP="00327A39">
            <w:pPr>
              <w:pStyle w:val="Prrafodelista"/>
              <w:numPr>
                <w:ilvl w:val="0"/>
                <w:numId w:val="4"/>
              </w:numPr>
              <w:tabs>
                <w:tab w:val="left" w:pos="319"/>
                <w:tab w:val="left" w:pos="602"/>
              </w:tabs>
              <w:spacing w:after="0" w:line="60" w:lineRule="atLeast"/>
              <w:ind w:left="0"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val="es-ES_tradnl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val="es-ES_tradnl"/>
              </w:rPr>
              <w:t xml:space="preserve">Comisión Nacional Permanente de Lucha </w:t>
            </w:r>
            <w:proofErr w:type="spellStart"/>
            <w:r>
              <w:rPr>
                <w:b w:val="0"/>
                <w:bCs w:val="0"/>
                <w:color w:val="auto"/>
                <w:sz w:val="22"/>
                <w:szCs w:val="22"/>
                <w:lang w:val="es-ES_tradnl"/>
              </w:rPr>
              <w:t>Antitabáquica</w:t>
            </w:r>
            <w:proofErr w:type="spellEnd"/>
            <w:r>
              <w:rPr>
                <w:b w:val="0"/>
                <w:bCs w:val="0"/>
                <w:color w:val="auto"/>
                <w:sz w:val="22"/>
                <w:szCs w:val="22"/>
                <w:lang w:val="es-ES_tradnl"/>
              </w:rPr>
              <w:t xml:space="preserve"> (COLAT)</w:t>
            </w:r>
          </w:p>
        </w:tc>
        <w:tc>
          <w:tcPr>
            <w:tcW w:w="2409" w:type="dxa"/>
          </w:tcPr>
          <w:p w14:paraId="4D8CDB28" w14:textId="6481FE88" w:rsidR="007956FE" w:rsidRPr="00B0162C" w:rsidRDefault="00E7749B" w:rsidP="00327A39">
            <w:pPr>
              <w:spacing w:line="6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Perú</w:t>
            </w:r>
          </w:p>
        </w:tc>
        <w:tc>
          <w:tcPr>
            <w:tcW w:w="2640" w:type="dxa"/>
          </w:tcPr>
          <w:p w14:paraId="2FC06845" w14:textId="137C8C1F" w:rsidR="007956FE" w:rsidRPr="00B0162C" w:rsidRDefault="00E7749B" w:rsidP="00327A39">
            <w:pPr>
              <w:spacing w:line="6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Flavia </w:t>
            </w:r>
            <w:proofErr w:type="spellStart"/>
            <w:r>
              <w:rPr>
                <w:sz w:val="22"/>
                <w:szCs w:val="22"/>
                <w:lang w:val="es-ES_tradnl"/>
              </w:rPr>
              <w:t>Radovic</w:t>
            </w:r>
            <w:proofErr w:type="spellEnd"/>
          </w:p>
        </w:tc>
      </w:tr>
      <w:tr w:rsidR="00B0162C" w:rsidRPr="00B0162C" w14:paraId="24C28ED5" w14:textId="77777777" w:rsidTr="00E77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664D028" w14:textId="1BAA2C88" w:rsidR="007956FE" w:rsidRPr="00B0162C" w:rsidRDefault="00E7749B" w:rsidP="00327A39">
            <w:pPr>
              <w:pStyle w:val="Prrafodelista"/>
              <w:numPr>
                <w:ilvl w:val="0"/>
                <w:numId w:val="4"/>
              </w:numPr>
              <w:tabs>
                <w:tab w:val="left" w:pos="319"/>
                <w:tab w:val="left" w:pos="602"/>
              </w:tabs>
              <w:spacing w:after="0" w:line="60" w:lineRule="atLeast"/>
              <w:ind w:left="0"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val="es-ES_tradnl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val="es-ES_tradnl"/>
              </w:rPr>
              <w:t>Alianza Dominicana Antitabaquismo</w:t>
            </w:r>
          </w:p>
        </w:tc>
        <w:tc>
          <w:tcPr>
            <w:tcW w:w="2409" w:type="dxa"/>
          </w:tcPr>
          <w:p w14:paraId="64923AE3" w14:textId="61AA92A6" w:rsidR="007956FE" w:rsidRPr="00B0162C" w:rsidRDefault="00E7749B" w:rsidP="00327A39">
            <w:pPr>
              <w:spacing w:line="6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República Dominicana</w:t>
            </w:r>
          </w:p>
        </w:tc>
        <w:tc>
          <w:tcPr>
            <w:tcW w:w="2640" w:type="dxa"/>
          </w:tcPr>
          <w:p w14:paraId="58EA04AF" w14:textId="13B8AA9C" w:rsidR="007956FE" w:rsidRPr="00B0162C" w:rsidRDefault="00E7749B" w:rsidP="00327A39">
            <w:pPr>
              <w:spacing w:line="6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Samuel Ramos</w:t>
            </w:r>
          </w:p>
        </w:tc>
      </w:tr>
      <w:tr w:rsidR="00E7749B" w:rsidRPr="00B0162C" w14:paraId="59AE6C7A" w14:textId="77777777" w:rsidTr="00E77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DF55570" w14:textId="5B68DAFA" w:rsidR="00E7749B" w:rsidRDefault="00E7749B" w:rsidP="00327A39">
            <w:pPr>
              <w:pStyle w:val="Prrafodelista"/>
              <w:numPr>
                <w:ilvl w:val="0"/>
                <w:numId w:val="4"/>
              </w:numPr>
              <w:tabs>
                <w:tab w:val="left" w:pos="319"/>
                <w:tab w:val="left" w:pos="602"/>
              </w:tabs>
              <w:spacing w:after="0" w:line="60" w:lineRule="atLeast"/>
              <w:ind w:left="0"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val="es-ES_tradnl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val="es-ES_tradnl"/>
              </w:rPr>
              <w:t>ACITASVE</w:t>
            </w:r>
          </w:p>
        </w:tc>
        <w:tc>
          <w:tcPr>
            <w:tcW w:w="2409" w:type="dxa"/>
          </w:tcPr>
          <w:p w14:paraId="27DBA1F3" w14:textId="03E822BE" w:rsidR="00E7749B" w:rsidRDefault="00E7749B" w:rsidP="00327A39">
            <w:pPr>
              <w:spacing w:line="6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Venezuela</w:t>
            </w:r>
          </w:p>
        </w:tc>
        <w:tc>
          <w:tcPr>
            <w:tcW w:w="2640" w:type="dxa"/>
          </w:tcPr>
          <w:p w14:paraId="2FE0AF36" w14:textId="119450F9" w:rsidR="00E7749B" w:rsidRDefault="00E7749B" w:rsidP="00327A39">
            <w:pPr>
              <w:spacing w:line="6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Rose </w:t>
            </w:r>
            <w:proofErr w:type="spellStart"/>
            <w:r>
              <w:rPr>
                <w:sz w:val="22"/>
                <w:szCs w:val="22"/>
                <w:lang w:val="es-ES_tradnl"/>
              </w:rPr>
              <w:t>Melkon</w:t>
            </w:r>
            <w:proofErr w:type="spellEnd"/>
          </w:p>
        </w:tc>
      </w:tr>
      <w:tr w:rsidR="005678CC" w:rsidRPr="00B0162C" w14:paraId="57033174" w14:textId="77777777" w:rsidTr="00E77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AA2105A" w14:textId="5DDCB956" w:rsidR="005678CC" w:rsidRDefault="005678CC" w:rsidP="00327A39">
            <w:pPr>
              <w:pStyle w:val="Prrafodelista"/>
              <w:numPr>
                <w:ilvl w:val="0"/>
                <w:numId w:val="4"/>
              </w:numPr>
              <w:tabs>
                <w:tab w:val="left" w:pos="319"/>
                <w:tab w:val="left" w:pos="602"/>
              </w:tabs>
              <w:spacing w:after="0" w:line="60" w:lineRule="atLeast"/>
              <w:ind w:left="0"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val="es-ES_tradnl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val="es-ES_tradnl"/>
              </w:rPr>
              <w:t xml:space="preserve">Coalición México </w:t>
            </w:r>
            <w:proofErr w:type="spellStart"/>
            <w:r>
              <w:rPr>
                <w:b w:val="0"/>
                <w:bCs w:val="0"/>
                <w:color w:val="auto"/>
                <w:sz w:val="22"/>
                <w:szCs w:val="22"/>
                <w:lang w:val="es-ES_tradnl"/>
              </w:rPr>
              <w:t>SaludHable</w:t>
            </w:r>
            <w:proofErr w:type="spellEnd"/>
          </w:p>
        </w:tc>
        <w:tc>
          <w:tcPr>
            <w:tcW w:w="2409" w:type="dxa"/>
          </w:tcPr>
          <w:p w14:paraId="465A2B5E" w14:textId="4C3436A3" w:rsidR="005678CC" w:rsidRDefault="005678CC" w:rsidP="00327A39">
            <w:pPr>
              <w:spacing w:line="6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México</w:t>
            </w:r>
          </w:p>
        </w:tc>
        <w:tc>
          <w:tcPr>
            <w:tcW w:w="2640" w:type="dxa"/>
          </w:tcPr>
          <w:p w14:paraId="0C3E8F11" w14:textId="180CF961" w:rsidR="005678CC" w:rsidRDefault="005678CC" w:rsidP="00327A39">
            <w:pPr>
              <w:spacing w:line="6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Juan Núñez Guadarrama</w:t>
            </w:r>
          </w:p>
        </w:tc>
      </w:tr>
      <w:tr w:rsidR="00E7749B" w:rsidRPr="00B0162C" w14:paraId="51F46356" w14:textId="77777777" w:rsidTr="00E77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9C1BC0F" w14:textId="69D272F6" w:rsidR="00E7749B" w:rsidRDefault="00E7749B" w:rsidP="00327A39">
            <w:pPr>
              <w:pStyle w:val="Prrafodelista"/>
              <w:numPr>
                <w:ilvl w:val="0"/>
                <w:numId w:val="4"/>
              </w:numPr>
              <w:tabs>
                <w:tab w:val="left" w:pos="319"/>
                <w:tab w:val="left" w:pos="602"/>
              </w:tabs>
              <w:spacing w:after="0" w:line="60" w:lineRule="atLeast"/>
              <w:ind w:left="0"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val="es-ES_tradnl"/>
              </w:rPr>
            </w:pPr>
            <w:r w:rsidRPr="00E7749B">
              <w:rPr>
                <w:b w:val="0"/>
                <w:bCs w:val="0"/>
                <w:color w:val="auto"/>
                <w:sz w:val="22"/>
                <w:szCs w:val="22"/>
                <w:lang w:val="es-ES_tradnl"/>
              </w:rPr>
              <w:t>Centro de Respuestas Educativas y Comunitarias, A.C</w:t>
            </w:r>
            <w:r>
              <w:rPr>
                <w:b w:val="0"/>
                <w:bCs w:val="0"/>
                <w:color w:val="auto"/>
                <w:sz w:val="22"/>
                <w:szCs w:val="22"/>
                <w:lang w:val="es-ES_tradnl"/>
              </w:rPr>
              <w:t xml:space="preserve"> (CRECE) </w:t>
            </w:r>
          </w:p>
        </w:tc>
        <w:tc>
          <w:tcPr>
            <w:tcW w:w="2409" w:type="dxa"/>
          </w:tcPr>
          <w:p w14:paraId="28586B36" w14:textId="084F35E1" w:rsidR="00E7749B" w:rsidRDefault="00E7749B" w:rsidP="00327A39">
            <w:pPr>
              <w:spacing w:line="6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México</w:t>
            </w:r>
          </w:p>
        </w:tc>
        <w:tc>
          <w:tcPr>
            <w:tcW w:w="2640" w:type="dxa"/>
          </w:tcPr>
          <w:p w14:paraId="6315AF56" w14:textId="0108B006" w:rsidR="00E7749B" w:rsidRDefault="00E7749B" w:rsidP="00327A39">
            <w:pPr>
              <w:spacing w:line="6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Carmen </w:t>
            </w:r>
            <w:proofErr w:type="spellStart"/>
            <w:r>
              <w:rPr>
                <w:sz w:val="22"/>
                <w:szCs w:val="22"/>
                <w:lang w:val="es-ES_tradnl"/>
              </w:rPr>
              <w:t>Millé</w:t>
            </w:r>
            <w:proofErr w:type="spellEnd"/>
          </w:p>
        </w:tc>
      </w:tr>
      <w:tr w:rsidR="00E7749B" w:rsidRPr="00B0162C" w14:paraId="3D3A2F12" w14:textId="77777777" w:rsidTr="00E77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19A58C1" w14:textId="7126E6F7" w:rsidR="00E7749B" w:rsidRDefault="005678CC" w:rsidP="00327A39">
            <w:pPr>
              <w:pStyle w:val="Prrafodelista"/>
              <w:numPr>
                <w:ilvl w:val="0"/>
                <w:numId w:val="4"/>
              </w:numPr>
              <w:tabs>
                <w:tab w:val="left" w:pos="319"/>
                <w:tab w:val="left" w:pos="602"/>
              </w:tabs>
              <w:spacing w:after="0" w:line="60" w:lineRule="atLeast"/>
              <w:ind w:left="0"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val="es-ES_tradnl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val="es-ES_tradnl"/>
              </w:rPr>
              <w:t>Acción contra el Alcoholismo</w:t>
            </w:r>
          </w:p>
        </w:tc>
        <w:tc>
          <w:tcPr>
            <w:tcW w:w="2409" w:type="dxa"/>
          </w:tcPr>
          <w:p w14:paraId="194B8F46" w14:textId="66187F32" w:rsidR="00E7749B" w:rsidRDefault="005678CC" w:rsidP="00327A39">
            <w:pPr>
              <w:spacing w:line="6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México</w:t>
            </w:r>
          </w:p>
        </w:tc>
        <w:tc>
          <w:tcPr>
            <w:tcW w:w="2640" w:type="dxa"/>
          </w:tcPr>
          <w:p w14:paraId="02C43BE3" w14:textId="20079415" w:rsidR="00E7749B" w:rsidRDefault="005678CC" w:rsidP="00327A39">
            <w:pPr>
              <w:spacing w:line="6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Francis </w:t>
            </w:r>
            <w:proofErr w:type="spellStart"/>
            <w:r>
              <w:rPr>
                <w:sz w:val="22"/>
                <w:szCs w:val="22"/>
                <w:lang w:val="es-ES_tradnl"/>
              </w:rPr>
              <w:t>Zaballa</w:t>
            </w:r>
            <w:proofErr w:type="spellEnd"/>
          </w:p>
        </w:tc>
      </w:tr>
      <w:tr w:rsidR="00E7749B" w:rsidRPr="00B0162C" w14:paraId="21CDA329" w14:textId="77777777" w:rsidTr="00E77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7921F7A" w14:textId="1FEACDD8" w:rsidR="00E7749B" w:rsidRDefault="005678CC" w:rsidP="00327A39">
            <w:pPr>
              <w:pStyle w:val="Prrafodelista"/>
              <w:numPr>
                <w:ilvl w:val="0"/>
                <w:numId w:val="4"/>
              </w:numPr>
              <w:tabs>
                <w:tab w:val="left" w:pos="319"/>
                <w:tab w:val="left" w:pos="602"/>
              </w:tabs>
              <w:spacing w:after="0" w:line="60" w:lineRule="atLeast"/>
              <w:ind w:left="0"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val="es-ES_tradnl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val="es-ES_tradnl"/>
              </w:rPr>
              <w:t>Exfumadores Asociados contra la Adicción (EXHALA)</w:t>
            </w:r>
          </w:p>
        </w:tc>
        <w:tc>
          <w:tcPr>
            <w:tcW w:w="2409" w:type="dxa"/>
          </w:tcPr>
          <w:p w14:paraId="4BCE5F9D" w14:textId="5457999D" w:rsidR="00E7749B" w:rsidRDefault="005678CC" w:rsidP="00327A39">
            <w:pPr>
              <w:spacing w:line="6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México</w:t>
            </w:r>
          </w:p>
        </w:tc>
        <w:tc>
          <w:tcPr>
            <w:tcW w:w="2640" w:type="dxa"/>
          </w:tcPr>
          <w:p w14:paraId="4736F123" w14:textId="5EF24462" w:rsidR="00E7749B" w:rsidRDefault="005678CC" w:rsidP="00327A39">
            <w:pPr>
              <w:spacing w:line="6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Jaime Barba</w:t>
            </w:r>
          </w:p>
        </w:tc>
      </w:tr>
      <w:tr w:rsidR="005678CC" w:rsidRPr="00B0162C" w14:paraId="0B6941A9" w14:textId="77777777" w:rsidTr="00E77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624BBC0E" w14:textId="73D35CE6" w:rsidR="005678CC" w:rsidRDefault="005678CC" w:rsidP="00327A39">
            <w:pPr>
              <w:pStyle w:val="Prrafodelista"/>
              <w:numPr>
                <w:ilvl w:val="0"/>
                <w:numId w:val="4"/>
              </w:numPr>
              <w:tabs>
                <w:tab w:val="left" w:pos="319"/>
                <w:tab w:val="left" w:pos="602"/>
              </w:tabs>
              <w:spacing w:after="0" w:line="60" w:lineRule="atLeast"/>
              <w:ind w:left="0"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val="es-ES_tradnl"/>
              </w:rPr>
            </w:pPr>
            <w:proofErr w:type="spellStart"/>
            <w:r>
              <w:rPr>
                <w:b w:val="0"/>
                <w:bCs w:val="0"/>
                <w:color w:val="auto"/>
                <w:sz w:val="22"/>
                <w:szCs w:val="22"/>
                <w:lang w:val="es-ES_tradnl"/>
              </w:rPr>
              <w:t>Refleacciona</w:t>
            </w:r>
            <w:proofErr w:type="spellEnd"/>
          </w:p>
        </w:tc>
        <w:tc>
          <w:tcPr>
            <w:tcW w:w="2409" w:type="dxa"/>
          </w:tcPr>
          <w:p w14:paraId="0E7A57CE" w14:textId="39CC176C" w:rsidR="005678CC" w:rsidRDefault="005678CC" w:rsidP="00327A39">
            <w:pPr>
              <w:spacing w:line="6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México</w:t>
            </w:r>
          </w:p>
        </w:tc>
        <w:tc>
          <w:tcPr>
            <w:tcW w:w="2640" w:type="dxa"/>
          </w:tcPr>
          <w:p w14:paraId="068730D6" w14:textId="072E7B03" w:rsidR="005678CC" w:rsidRDefault="005678CC" w:rsidP="00327A39">
            <w:pPr>
              <w:spacing w:line="6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Miguel Ángel Toscano</w:t>
            </w:r>
          </w:p>
        </w:tc>
      </w:tr>
      <w:tr w:rsidR="005678CC" w:rsidRPr="00B0162C" w14:paraId="2A77A21C" w14:textId="77777777" w:rsidTr="00E77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81F98B9" w14:textId="4698FDE0" w:rsidR="005678CC" w:rsidRDefault="00AB2D48" w:rsidP="00327A39">
            <w:pPr>
              <w:pStyle w:val="Prrafodelista"/>
              <w:numPr>
                <w:ilvl w:val="0"/>
                <w:numId w:val="4"/>
              </w:numPr>
              <w:tabs>
                <w:tab w:val="left" w:pos="319"/>
                <w:tab w:val="left" w:pos="602"/>
              </w:tabs>
              <w:spacing w:after="0" w:line="60" w:lineRule="atLeast"/>
              <w:ind w:left="0"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val="es-ES_tradnl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val="es-ES_tradnl"/>
              </w:rPr>
              <w:t>Personas Proactivas con ENT</w:t>
            </w:r>
          </w:p>
        </w:tc>
        <w:tc>
          <w:tcPr>
            <w:tcW w:w="2409" w:type="dxa"/>
          </w:tcPr>
          <w:p w14:paraId="2F32C7C0" w14:textId="1BFFDB71" w:rsidR="005678CC" w:rsidRDefault="00AB2D48" w:rsidP="00327A39">
            <w:pPr>
              <w:spacing w:line="6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México </w:t>
            </w:r>
          </w:p>
        </w:tc>
        <w:tc>
          <w:tcPr>
            <w:tcW w:w="2640" w:type="dxa"/>
          </w:tcPr>
          <w:p w14:paraId="4A25E2B9" w14:textId="68BD9E6E" w:rsidR="005678CC" w:rsidRDefault="00AB2D48" w:rsidP="00327A39">
            <w:pPr>
              <w:spacing w:line="6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Dunia Aguilar Méndez</w:t>
            </w:r>
          </w:p>
        </w:tc>
      </w:tr>
      <w:tr w:rsidR="00343FE0" w:rsidRPr="00B0162C" w14:paraId="15341B2D" w14:textId="77777777" w:rsidTr="00E77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2557E2C" w14:textId="09B76156" w:rsidR="00343FE0" w:rsidRDefault="00343FE0" w:rsidP="00327A39">
            <w:pPr>
              <w:pStyle w:val="Prrafodelista"/>
              <w:numPr>
                <w:ilvl w:val="0"/>
                <w:numId w:val="4"/>
              </w:numPr>
              <w:tabs>
                <w:tab w:val="left" w:pos="319"/>
                <w:tab w:val="left" w:pos="602"/>
              </w:tabs>
              <w:spacing w:after="0" w:line="60" w:lineRule="atLeast"/>
              <w:ind w:left="0"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val="es-ES_tradnl"/>
              </w:rPr>
            </w:pPr>
            <w:proofErr w:type="spellStart"/>
            <w:r>
              <w:rPr>
                <w:b w:val="0"/>
                <w:bCs w:val="0"/>
                <w:color w:val="auto"/>
                <w:sz w:val="22"/>
                <w:szCs w:val="22"/>
                <w:lang w:val="es-ES_tradnl"/>
              </w:rPr>
              <w:t>Sociedade</w:t>
            </w:r>
            <w:proofErr w:type="spellEnd"/>
            <w:r>
              <w:rPr>
                <w:b w:val="0"/>
                <w:bCs w:val="0"/>
                <w:color w:val="auto"/>
                <w:sz w:val="22"/>
                <w:szCs w:val="22"/>
                <w:lang w:val="es-ES_tradnl"/>
              </w:rPr>
              <w:t xml:space="preserve"> Brasileira de </w:t>
            </w:r>
            <w:proofErr w:type="spellStart"/>
            <w:r>
              <w:rPr>
                <w:b w:val="0"/>
                <w:bCs w:val="0"/>
                <w:color w:val="auto"/>
                <w:sz w:val="22"/>
                <w:szCs w:val="22"/>
                <w:lang w:val="es-ES_tradnl"/>
              </w:rPr>
              <w:t>Pneumologia</w:t>
            </w:r>
            <w:proofErr w:type="spellEnd"/>
            <w:r>
              <w:rPr>
                <w:b w:val="0"/>
                <w:bCs w:val="0"/>
                <w:color w:val="auto"/>
                <w:sz w:val="22"/>
                <w:szCs w:val="22"/>
                <w:lang w:val="es-ES_tradnl"/>
              </w:rPr>
              <w:t xml:space="preserve"> e </w:t>
            </w:r>
            <w:proofErr w:type="spellStart"/>
            <w:r>
              <w:rPr>
                <w:b w:val="0"/>
                <w:bCs w:val="0"/>
                <w:color w:val="auto"/>
                <w:sz w:val="22"/>
                <w:szCs w:val="22"/>
                <w:lang w:val="es-ES_tradnl"/>
              </w:rPr>
              <w:t>Tisiologia</w:t>
            </w:r>
            <w:proofErr w:type="spellEnd"/>
          </w:p>
        </w:tc>
        <w:tc>
          <w:tcPr>
            <w:tcW w:w="2409" w:type="dxa"/>
          </w:tcPr>
          <w:p w14:paraId="34D6320E" w14:textId="0C92A52D" w:rsidR="00343FE0" w:rsidRDefault="00343FE0" w:rsidP="00327A39">
            <w:pPr>
              <w:spacing w:line="6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Brasil</w:t>
            </w:r>
          </w:p>
        </w:tc>
        <w:tc>
          <w:tcPr>
            <w:tcW w:w="2640" w:type="dxa"/>
          </w:tcPr>
          <w:p w14:paraId="184B20C0" w14:textId="30C3DA67" w:rsidR="00343FE0" w:rsidRPr="00F04E90" w:rsidRDefault="00343FE0" w:rsidP="00327A39">
            <w:pPr>
              <w:spacing w:line="6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s-ES_tradnl"/>
              </w:rPr>
            </w:pPr>
            <w:r w:rsidRPr="00F04E90">
              <w:rPr>
                <w:rFonts w:cstheme="minorHAnsi"/>
                <w:sz w:val="22"/>
                <w:szCs w:val="22"/>
                <w:lang w:val="es-ES_tradnl"/>
              </w:rPr>
              <w:t xml:space="preserve">Paulo </w:t>
            </w:r>
            <w:proofErr w:type="spellStart"/>
            <w:r w:rsidRPr="00F04E90">
              <w:rPr>
                <w:rFonts w:cstheme="minorHAnsi"/>
                <w:sz w:val="22"/>
                <w:szCs w:val="22"/>
                <w:lang w:val="es-ES_tradnl"/>
              </w:rPr>
              <w:t>Corr</w:t>
            </w:r>
            <w:r w:rsidR="00F04E90" w:rsidRPr="00F04E90">
              <w:rPr>
                <w:rFonts w:cstheme="minorHAnsi"/>
                <w:sz w:val="22"/>
                <w:szCs w:val="22"/>
                <w:lang w:val="es-ES_tradnl"/>
              </w:rPr>
              <w:t>êa</w:t>
            </w:r>
            <w:proofErr w:type="spellEnd"/>
          </w:p>
        </w:tc>
      </w:tr>
      <w:tr w:rsidR="00F04E90" w:rsidRPr="00B0162C" w14:paraId="32B0131C" w14:textId="77777777" w:rsidTr="00E77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FF12BBE" w14:textId="1A119842" w:rsidR="00F04E90" w:rsidRDefault="00F04E90" w:rsidP="00327A39">
            <w:pPr>
              <w:pStyle w:val="Prrafodelista"/>
              <w:numPr>
                <w:ilvl w:val="0"/>
                <w:numId w:val="4"/>
              </w:numPr>
              <w:tabs>
                <w:tab w:val="left" w:pos="319"/>
                <w:tab w:val="left" w:pos="602"/>
              </w:tabs>
              <w:spacing w:after="0" w:line="60" w:lineRule="atLeast"/>
              <w:ind w:left="0"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val="es-ES_tradnl"/>
              </w:rPr>
            </w:pPr>
            <w:proofErr w:type="spellStart"/>
            <w:r>
              <w:rPr>
                <w:b w:val="0"/>
                <w:bCs w:val="0"/>
                <w:color w:val="auto"/>
                <w:sz w:val="22"/>
                <w:szCs w:val="22"/>
                <w:lang w:val="es-ES_tradnl"/>
              </w:rPr>
              <w:t>AENTChile</w:t>
            </w:r>
            <w:proofErr w:type="spellEnd"/>
          </w:p>
        </w:tc>
        <w:tc>
          <w:tcPr>
            <w:tcW w:w="2409" w:type="dxa"/>
          </w:tcPr>
          <w:p w14:paraId="2227EA86" w14:textId="27AD9DB3" w:rsidR="00F04E90" w:rsidRDefault="00F04E90" w:rsidP="00327A39">
            <w:pPr>
              <w:spacing w:line="6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Chile</w:t>
            </w:r>
          </w:p>
        </w:tc>
        <w:tc>
          <w:tcPr>
            <w:tcW w:w="2640" w:type="dxa"/>
          </w:tcPr>
          <w:p w14:paraId="705CC9A1" w14:textId="20E9A06A" w:rsidR="00F04E90" w:rsidRPr="00F04E90" w:rsidRDefault="00F04E90" w:rsidP="00327A39">
            <w:pPr>
              <w:spacing w:line="6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s-ES_tradnl"/>
              </w:rPr>
            </w:pPr>
            <w:r>
              <w:rPr>
                <w:rFonts w:cstheme="minorHAnsi"/>
                <w:sz w:val="22"/>
                <w:szCs w:val="22"/>
                <w:lang w:val="es-ES_tradnl"/>
              </w:rPr>
              <w:t>María Paz Corvalán</w:t>
            </w:r>
          </w:p>
        </w:tc>
      </w:tr>
    </w:tbl>
    <w:p w14:paraId="535F4571" w14:textId="77777777" w:rsidR="007956FE" w:rsidRPr="00327A39" w:rsidRDefault="007956FE" w:rsidP="002F6624">
      <w:pPr>
        <w:jc w:val="both"/>
      </w:pPr>
    </w:p>
    <w:sectPr w:rsidR="007956FE" w:rsidRPr="00327A39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738B8" w14:textId="77777777" w:rsidR="0096254A" w:rsidRDefault="0096254A" w:rsidP="001A25FA">
      <w:r>
        <w:separator/>
      </w:r>
    </w:p>
  </w:endnote>
  <w:endnote w:type="continuationSeparator" w:id="0">
    <w:p w14:paraId="12892851" w14:textId="77777777" w:rsidR="0096254A" w:rsidRDefault="0096254A" w:rsidP="001A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uerpo en alfa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4829235"/>
      <w:docPartObj>
        <w:docPartGallery w:val="Page Numbers (Bottom of Page)"/>
        <w:docPartUnique/>
      </w:docPartObj>
    </w:sdtPr>
    <w:sdtEndPr/>
    <w:sdtContent>
      <w:p w14:paraId="2A44DBE0" w14:textId="6B225C18" w:rsidR="007956FE" w:rsidRDefault="007956F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397" w:rsidRPr="00097397">
          <w:rPr>
            <w:noProof/>
            <w:lang w:val="es-ES"/>
          </w:rPr>
          <w:t>3</w:t>
        </w:r>
        <w:r>
          <w:fldChar w:fldCharType="end"/>
        </w:r>
      </w:p>
    </w:sdtContent>
  </w:sdt>
  <w:p w14:paraId="41722D9A" w14:textId="77777777" w:rsidR="007956FE" w:rsidRDefault="007956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8E9B2" w14:textId="77777777" w:rsidR="0096254A" w:rsidRDefault="0096254A" w:rsidP="001A25FA">
      <w:r>
        <w:separator/>
      </w:r>
    </w:p>
  </w:footnote>
  <w:footnote w:type="continuationSeparator" w:id="0">
    <w:p w14:paraId="12DDC9BC" w14:textId="77777777" w:rsidR="0096254A" w:rsidRDefault="0096254A" w:rsidP="001A25FA">
      <w:r>
        <w:continuationSeparator/>
      </w:r>
    </w:p>
  </w:footnote>
  <w:footnote w:id="1">
    <w:p w14:paraId="77C34F0F" w14:textId="77777777" w:rsidR="007956FE" w:rsidRPr="001F14DA" w:rsidRDefault="007956FE" w:rsidP="007956FE">
      <w:pPr>
        <w:pStyle w:val="Textonotapie"/>
        <w:jc w:val="both"/>
        <w:rPr>
          <w:lang w:val="en-US"/>
        </w:rPr>
      </w:pPr>
      <w:r>
        <w:rPr>
          <w:rStyle w:val="Refdenotaalpie"/>
        </w:rPr>
        <w:footnoteRef/>
      </w:r>
      <w:r w:rsidRPr="001F14DA">
        <w:rPr>
          <w:lang w:val="en-US"/>
        </w:rPr>
        <w:t xml:space="preserve"> WHO, </w:t>
      </w:r>
      <w:r w:rsidRPr="001F14DA">
        <w:rPr>
          <w:i/>
          <w:iCs/>
          <w:lang w:val="en-US"/>
        </w:rPr>
        <w:t xml:space="preserve">Tobacco and its </w:t>
      </w:r>
      <w:r>
        <w:rPr>
          <w:i/>
          <w:iCs/>
          <w:lang w:val="en-US"/>
        </w:rPr>
        <w:t>environmental impact: an overview</w:t>
      </w:r>
      <w:r>
        <w:rPr>
          <w:lang w:val="en-US"/>
        </w:rPr>
        <w:t xml:space="preserve">, 2017, disponible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hyperlink r:id="rId1" w:history="1">
        <w:r w:rsidRPr="00BD42B2">
          <w:rPr>
            <w:rStyle w:val="Hipervnculo"/>
            <w:lang w:val="en-US"/>
          </w:rPr>
          <w:t>https://apps.who.int/iris/bitstream/handle/10665/255574/9789241512497-eng.pdf</w:t>
        </w:r>
      </w:hyperlink>
      <w:r>
        <w:rPr>
          <w:lang w:val="en-US"/>
        </w:rPr>
        <w:t xml:space="preserve"> </w:t>
      </w:r>
    </w:p>
  </w:footnote>
  <w:footnote w:id="2">
    <w:p w14:paraId="66FB3669" w14:textId="77777777" w:rsidR="00EE2DFC" w:rsidRPr="00505CFE" w:rsidRDefault="00EE2DFC" w:rsidP="00EE2DFC">
      <w:pPr>
        <w:pStyle w:val="Textonotapie"/>
        <w:jc w:val="both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_tradnl"/>
        </w:rPr>
        <w:t xml:space="preserve">OMS, </w:t>
      </w:r>
      <w:r>
        <w:rPr>
          <w:i/>
          <w:iCs/>
          <w:lang w:val="es-ES_tradnl"/>
        </w:rPr>
        <w:t>Proteger el medio ambiente, una razón más para dejar de fumar que le dará el Día Mundial sin Tabaco</w:t>
      </w:r>
      <w:r>
        <w:rPr>
          <w:lang w:val="es-ES_tradnl"/>
        </w:rPr>
        <w:t xml:space="preserve">, Ginebra, 13 de diciembre de 2021, disponible en </w:t>
      </w:r>
      <w:hyperlink r:id="rId2" w:history="1">
        <w:r w:rsidRPr="001C4AAD">
          <w:rPr>
            <w:rStyle w:val="Hipervnculo"/>
            <w:lang w:val="es-ES_tradnl"/>
          </w:rPr>
          <w:t>https://www.who.int/es/news/item/13-12-2021-protect-the-environment-world-no-tobacco-day-2022-will-give-you-one-more-reason-to-quit</w:t>
        </w:r>
      </w:hyperlink>
      <w:r>
        <w:rPr>
          <w:lang w:val="es-ES_tradnl"/>
        </w:rPr>
        <w:t xml:space="preserve"> </w:t>
      </w:r>
    </w:p>
  </w:footnote>
  <w:footnote w:id="3">
    <w:p w14:paraId="4E635421" w14:textId="77777777" w:rsidR="00EE2DFC" w:rsidRPr="00141798" w:rsidRDefault="00EE2DFC" w:rsidP="00EE2DFC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 w:rsidRPr="00141798">
        <w:rPr>
          <w:lang w:val="es-MX"/>
        </w:rPr>
        <w:t xml:space="preserve"> STOP-WHO, </w:t>
      </w:r>
      <w:r w:rsidRPr="00141798">
        <w:rPr>
          <w:i/>
          <w:iCs/>
          <w:lang w:val="es-MX"/>
        </w:rPr>
        <w:t>El blanqueo ecoló</w:t>
      </w:r>
      <w:r>
        <w:rPr>
          <w:i/>
          <w:iCs/>
          <w:lang w:val="es-MX"/>
        </w:rPr>
        <w:t>gico: lo que se esconde detrás de las relaciones públicas “verdes” de la industria tabacalera</w:t>
      </w:r>
      <w:r>
        <w:rPr>
          <w:lang w:val="es-MX"/>
        </w:rPr>
        <w:t xml:space="preserve">, mayo de 2022, disponible en </w:t>
      </w:r>
      <w:hyperlink r:id="rId3" w:history="1">
        <w:r w:rsidRPr="00BD42B2">
          <w:rPr>
            <w:rStyle w:val="Hipervnculo"/>
            <w:lang w:val="es-MX"/>
          </w:rPr>
          <w:t>https://exposetobacco.org/resource/talking-trash-tobacco-sustainability/</w:t>
        </w:r>
      </w:hyperlink>
      <w:r>
        <w:rPr>
          <w:lang w:val="es-MX"/>
        </w:rPr>
        <w:t xml:space="preserve"> </w:t>
      </w:r>
    </w:p>
  </w:footnote>
  <w:footnote w:id="4">
    <w:p w14:paraId="69FBB394" w14:textId="77777777" w:rsidR="007956FE" w:rsidRPr="00215C09" w:rsidRDefault="007956FE" w:rsidP="007956FE">
      <w:pPr>
        <w:pStyle w:val="Textonotapie"/>
        <w:jc w:val="both"/>
        <w:rPr>
          <w:i/>
          <w:iCs/>
          <w:lang w:val="en-US"/>
        </w:rPr>
      </w:pPr>
      <w:r>
        <w:rPr>
          <w:rStyle w:val="Refdenotaalpie"/>
        </w:rPr>
        <w:footnoteRef/>
      </w:r>
      <w:r w:rsidRPr="00215C09">
        <w:rPr>
          <w:lang w:val="en-US"/>
        </w:rPr>
        <w:t xml:space="preserve"> M. </w:t>
      </w:r>
      <w:proofErr w:type="spellStart"/>
      <w:r w:rsidRPr="00215C09">
        <w:rPr>
          <w:lang w:val="en-US"/>
        </w:rPr>
        <w:t>Zafeiridou</w:t>
      </w:r>
      <w:proofErr w:type="spellEnd"/>
      <w:r w:rsidRPr="00215C09">
        <w:rPr>
          <w:lang w:val="en-US"/>
        </w:rPr>
        <w:t xml:space="preserve">; N. Hopkinson, N. </w:t>
      </w:r>
      <w:proofErr w:type="spellStart"/>
      <w:r w:rsidRPr="00215C09">
        <w:rPr>
          <w:lang w:val="en-US"/>
        </w:rPr>
        <w:t>Voulvoulis</w:t>
      </w:r>
      <w:proofErr w:type="spellEnd"/>
      <w:r w:rsidRPr="00215C09">
        <w:rPr>
          <w:lang w:val="en-US"/>
        </w:rPr>
        <w:t xml:space="preserve">, </w:t>
      </w:r>
      <w:r w:rsidRPr="00215C09">
        <w:rPr>
          <w:i/>
          <w:iCs/>
          <w:lang w:val="en-US"/>
        </w:rPr>
        <w:t>Cigarette Smoking: An Assessment of Tobacco’s Global Environmental Footprint Across Its</w:t>
      </w:r>
      <w:r>
        <w:rPr>
          <w:i/>
          <w:iCs/>
          <w:lang w:val="en-US"/>
        </w:rPr>
        <w:t xml:space="preserve"> </w:t>
      </w:r>
      <w:r w:rsidRPr="00215C09">
        <w:rPr>
          <w:i/>
          <w:iCs/>
          <w:lang w:val="en-US"/>
        </w:rPr>
        <w:t>Entire Supply Chain</w:t>
      </w:r>
      <w:r w:rsidRPr="00215C09">
        <w:rPr>
          <w:lang w:val="en-US"/>
        </w:rPr>
        <w:t xml:space="preserve">, Environ. Sci. Technol. 2018, 52, 15, </w:t>
      </w:r>
      <w:hyperlink r:id="rId4" w:history="1">
        <w:r w:rsidRPr="00BD42B2">
          <w:rPr>
            <w:rStyle w:val="Hipervnculo"/>
            <w:lang w:val="en-US"/>
          </w:rPr>
          <w:t>https://pubs.acs.org/doi/10.1021/acs.est.8b01533</w:t>
        </w:r>
      </w:hyperlink>
      <w:r>
        <w:rPr>
          <w:lang w:val="en-US"/>
        </w:rPr>
        <w:t xml:space="preserve"> </w:t>
      </w:r>
    </w:p>
  </w:footnote>
  <w:footnote w:id="5">
    <w:p w14:paraId="782526E1" w14:textId="77777777" w:rsidR="007956FE" w:rsidRPr="00CE33D9" w:rsidRDefault="007956FE" w:rsidP="007956FE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 w:rsidRPr="000E7325">
        <w:rPr>
          <w:lang w:val="en-US"/>
        </w:rPr>
        <w:t xml:space="preserve"> Tik Root, </w:t>
      </w:r>
      <w:r w:rsidRPr="00CE33D9">
        <w:rPr>
          <w:i/>
          <w:iCs/>
          <w:lang w:val="en-US"/>
        </w:rPr>
        <w:t>Cigarette butts are toxic plastic pollution. Should they be banned?</w:t>
      </w:r>
      <w:r w:rsidRPr="000E7325">
        <w:rPr>
          <w:lang w:val="en-US"/>
        </w:rPr>
        <w:t xml:space="preserve"> National Geographic., 9 August, 2019,</w:t>
      </w:r>
      <w:r>
        <w:rPr>
          <w:lang w:val="en-US"/>
        </w:rPr>
        <w:t xml:space="preserve"> </w:t>
      </w:r>
      <w:hyperlink r:id="rId5" w:history="1">
        <w:r w:rsidRPr="00BD42B2">
          <w:rPr>
            <w:rStyle w:val="Hipervnculo"/>
            <w:lang w:val="en-US"/>
          </w:rPr>
          <w:t>https://www.nationalgeographic.com/environment/article/cigarettes-story-of-plastic</w:t>
        </w:r>
      </w:hyperlink>
      <w:r w:rsidRPr="000E7325">
        <w:rPr>
          <w:lang w:val="en-US"/>
        </w:rPr>
        <w:t>;</w:t>
      </w:r>
      <w:r>
        <w:rPr>
          <w:lang w:val="en-US"/>
        </w:rPr>
        <w:t xml:space="preserve"> </w:t>
      </w:r>
      <w:r w:rsidRPr="000E7325">
        <w:rPr>
          <w:lang w:val="en-US"/>
        </w:rPr>
        <w:t xml:space="preserve">Novotny; S. </w:t>
      </w:r>
      <w:proofErr w:type="spellStart"/>
      <w:r w:rsidRPr="000E7325">
        <w:rPr>
          <w:lang w:val="en-US"/>
        </w:rPr>
        <w:t>Aguinaga</w:t>
      </w:r>
      <w:proofErr w:type="spellEnd"/>
      <w:r w:rsidRPr="000E7325">
        <w:rPr>
          <w:lang w:val="en-US"/>
        </w:rPr>
        <w:t xml:space="preserve"> </w:t>
      </w:r>
      <w:proofErr w:type="spellStart"/>
      <w:r w:rsidRPr="000E7325">
        <w:rPr>
          <w:lang w:val="en-US"/>
        </w:rPr>
        <w:t>Bialous</w:t>
      </w:r>
      <w:proofErr w:type="spellEnd"/>
      <w:r w:rsidRPr="000E7325">
        <w:rPr>
          <w:lang w:val="en-US"/>
        </w:rPr>
        <w:t>; L. Burt; C. Curtis; V. Luiza da</w:t>
      </w:r>
      <w:r>
        <w:rPr>
          <w:lang w:val="en-US"/>
        </w:rPr>
        <w:t xml:space="preserve"> </w:t>
      </w:r>
      <w:r w:rsidRPr="000E7325">
        <w:rPr>
          <w:lang w:val="en-US"/>
        </w:rPr>
        <w:t xml:space="preserve">Costa; S. Usman </w:t>
      </w:r>
      <w:proofErr w:type="spellStart"/>
      <w:r w:rsidRPr="000E7325">
        <w:rPr>
          <w:lang w:val="en-US"/>
        </w:rPr>
        <w:t>Iqtidar</w:t>
      </w:r>
      <w:proofErr w:type="spellEnd"/>
      <w:r w:rsidRPr="000E7325">
        <w:rPr>
          <w:lang w:val="en-US"/>
        </w:rPr>
        <w:t xml:space="preserve">; Y. Liu; S. Pujari; E. </w:t>
      </w:r>
      <w:proofErr w:type="spellStart"/>
      <w:r w:rsidRPr="000E7325">
        <w:rPr>
          <w:lang w:val="en-US"/>
        </w:rPr>
        <w:t>Tursan</w:t>
      </w:r>
      <w:proofErr w:type="spellEnd"/>
      <w:r w:rsidRPr="000E7325">
        <w:rPr>
          <w:lang w:val="en-US"/>
        </w:rPr>
        <w:t xml:space="preserve"> </w:t>
      </w:r>
      <w:proofErr w:type="spellStart"/>
      <w:r w:rsidRPr="000E7325">
        <w:rPr>
          <w:lang w:val="en-US"/>
        </w:rPr>
        <w:t>d’Espaignet</w:t>
      </w:r>
      <w:proofErr w:type="spellEnd"/>
      <w:r w:rsidRPr="000E7325">
        <w:rPr>
          <w:lang w:val="en-US"/>
        </w:rPr>
        <w:t xml:space="preserve">, </w:t>
      </w:r>
      <w:r w:rsidRPr="00903CA5">
        <w:rPr>
          <w:i/>
          <w:iCs/>
          <w:lang w:val="en-US"/>
        </w:rPr>
        <w:t>The environmental and health impacts of tobacco agriculture, cigarette manufacture and consumption</w:t>
      </w:r>
      <w:r w:rsidRPr="000E7325">
        <w:rPr>
          <w:lang w:val="en-US"/>
        </w:rPr>
        <w:t xml:space="preserve">, Bull World Health Organ. </w:t>
      </w:r>
      <w:r w:rsidRPr="00CE33D9">
        <w:rPr>
          <w:lang w:val="es-MX"/>
        </w:rPr>
        <w:t xml:space="preserve">2015 Dec 1; 93(12): 877–880, </w:t>
      </w:r>
      <w:hyperlink r:id="rId6" w:history="1">
        <w:r w:rsidRPr="00CE33D9">
          <w:rPr>
            <w:rStyle w:val="Hipervnculo"/>
            <w:lang w:val="es-MX"/>
          </w:rPr>
          <w:t>https://www.ncbi.nlm.nih.gov/pmc/articles/PMC4669730/</w:t>
        </w:r>
      </w:hyperlink>
      <w:r w:rsidRPr="00CE33D9">
        <w:rPr>
          <w:lang w:val="es-MX"/>
        </w:rPr>
        <w:t xml:space="preserve">, citado en </w:t>
      </w:r>
      <w:r w:rsidRPr="00141798">
        <w:rPr>
          <w:lang w:val="es-MX"/>
        </w:rPr>
        <w:t xml:space="preserve">STOP-WHO, </w:t>
      </w:r>
      <w:r w:rsidRPr="00141798">
        <w:rPr>
          <w:i/>
          <w:iCs/>
          <w:lang w:val="es-MX"/>
        </w:rPr>
        <w:t>El blanqueo ecoló</w:t>
      </w:r>
      <w:r>
        <w:rPr>
          <w:i/>
          <w:iCs/>
          <w:lang w:val="es-MX"/>
        </w:rPr>
        <w:t>gico: lo que se esconde detrás de las relaciones públicas “verdes” de la industria tabacalera</w:t>
      </w:r>
      <w:r>
        <w:rPr>
          <w:lang w:val="es-MX"/>
        </w:rPr>
        <w:t xml:space="preserve">, op. cit. </w:t>
      </w:r>
    </w:p>
  </w:footnote>
  <w:footnote w:id="6">
    <w:p w14:paraId="44517814" w14:textId="77777777" w:rsidR="007956FE" w:rsidRPr="00944C06" w:rsidRDefault="007956FE" w:rsidP="007956FE">
      <w:pPr>
        <w:pStyle w:val="Textonotapie"/>
        <w:jc w:val="both"/>
        <w:rPr>
          <w:lang w:val="en-US"/>
        </w:rPr>
      </w:pPr>
      <w:r>
        <w:rPr>
          <w:rStyle w:val="Refdenotaalpie"/>
        </w:rPr>
        <w:footnoteRef/>
      </w:r>
      <w:r w:rsidRPr="00944C06">
        <w:rPr>
          <w:lang w:val="en-US"/>
        </w:rPr>
        <w:t xml:space="preserve"> </w:t>
      </w:r>
      <w:proofErr w:type="spellStart"/>
      <w:r>
        <w:rPr>
          <w:lang w:val="en-US"/>
        </w:rPr>
        <w:t>Torkashvand</w:t>
      </w:r>
      <w:proofErr w:type="spellEnd"/>
      <w:r>
        <w:rPr>
          <w:lang w:val="en-US"/>
        </w:rPr>
        <w:t xml:space="preserve"> J, et al. </w:t>
      </w:r>
      <w:r>
        <w:rPr>
          <w:i/>
          <w:iCs/>
          <w:lang w:val="en-US"/>
        </w:rPr>
        <w:t>Littered cigarette butt as a well-known hazardous waste: A comprehensive systematic review</w:t>
      </w:r>
      <w:r>
        <w:rPr>
          <w:lang w:val="en-US"/>
        </w:rPr>
        <w:t xml:space="preserve">, Journal of Hazardous Materials 2020, 383: 121242. </w:t>
      </w:r>
    </w:p>
  </w:footnote>
  <w:footnote w:id="7">
    <w:p w14:paraId="0478784D" w14:textId="77777777" w:rsidR="007956FE" w:rsidRPr="00CE33D9" w:rsidRDefault="007956FE" w:rsidP="007956FE">
      <w:pPr>
        <w:pStyle w:val="Textonotapie"/>
        <w:jc w:val="both"/>
        <w:rPr>
          <w:lang w:val="en-US"/>
        </w:rPr>
      </w:pPr>
      <w:r>
        <w:rPr>
          <w:rStyle w:val="Refdenotaalpie"/>
        </w:rPr>
        <w:footnoteRef/>
      </w:r>
      <w:r w:rsidRPr="00CE33D9">
        <w:rPr>
          <w:lang w:val="en-US"/>
        </w:rPr>
        <w:t xml:space="preserve"> The Truth Initiative, Tobacco and the environment, Website, March 08, 2021, </w:t>
      </w:r>
      <w:hyperlink r:id="rId7" w:history="1">
        <w:r w:rsidRPr="00BD42B2">
          <w:rPr>
            <w:rStyle w:val="Hipervnculo"/>
            <w:lang w:val="en-US"/>
          </w:rPr>
          <w:t>https://truthinitiative.org/research-resources/harmful-effectstobacco/</w:t>
        </w:r>
        <w:r w:rsidRPr="00CE33D9">
          <w:rPr>
            <w:rStyle w:val="Hipervnculo"/>
            <w:lang w:val="en-US"/>
          </w:rPr>
          <w:t>tobacco-and-environment</w:t>
        </w:r>
      </w:hyperlink>
      <w:r w:rsidRPr="00CE33D9">
        <w:rPr>
          <w:lang w:val="en-US"/>
        </w:rPr>
        <w:t xml:space="preserve"> </w:t>
      </w:r>
    </w:p>
  </w:footnote>
  <w:footnote w:id="8">
    <w:p w14:paraId="6298BC1F" w14:textId="65B62BEF" w:rsidR="00190334" w:rsidRPr="00190334" w:rsidRDefault="00190334" w:rsidP="0011301A">
      <w:pPr>
        <w:pStyle w:val="Textonotapie"/>
        <w:jc w:val="both"/>
        <w:rPr>
          <w:lang w:val="en-US"/>
        </w:rPr>
      </w:pPr>
      <w:r>
        <w:rPr>
          <w:rStyle w:val="Refdenotaalpie"/>
        </w:rPr>
        <w:footnoteRef/>
      </w:r>
      <w:r w:rsidRPr="00190334">
        <w:rPr>
          <w:lang w:val="en-US"/>
        </w:rPr>
        <w:t xml:space="preserve"> </w:t>
      </w:r>
      <w:r w:rsidR="00BC30F1" w:rsidRPr="00BC30F1">
        <w:rPr>
          <w:lang w:val="en-US"/>
        </w:rPr>
        <w:t xml:space="preserve">Global Center for Good Governance in Tobacco Control (GGTC), partner of STOP. (2022, May 15). Country Brief: How should tobacco companies pay for their pollution? </w:t>
      </w:r>
      <w:hyperlink r:id="rId8" w:history="1">
        <w:r w:rsidR="00BC30F1" w:rsidRPr="00F410E3">
          <w:rPr>
            <w:rStyle w:val="Hipervnculo"/>
            <w:lang w:val="en-US"/>
          </w:rPr>
          <w:t>https://tobaccoplastics.ggtc.world/</w:t>
        </w:r>
      </w:hyperlink>
      <w:r w:rsidR="00BC30F1">
        <w:rPr>
          <w:lang w:val="en-US"/>
        </w:rPr>
        <w:t xml:space="preserve"> </w:t>
      </w:r>
    </w:p>
  </w:footnote>
  <w:footnote w:id="9">
    <w:p w14:paraId="1CABDE11" w14:textId="77777777" w:rsidR="007956FE" w:rsidRPr="00A41A29" w:rsidRDefault="007956FE" w:rsidP="007956FE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A41A29">
        <w:rPr>
          <w:lang w:val="en-US"/>
        </w:rPr>
        <w:t xml:space="preserve"> </w:t>
      </w:r>
      <w:r w:rsidRPr="00215C09">
        <w:rPr>
          <w:lang w:val="en-US"/>
        </w:rPr>
        <w:t xml:space="preserve">M. </w:t>
      </w:r>
      <w:proofErr w:type="spellStart"/>
      <w:r w:rsidRPr="00215C09">
        <w:rPr>
          <w:lang w:val="en-US"/>
        </w:rPr>
        <w:t>Zafeiridou</w:t>
      </w:r>
      <w:proofErr w:type="spellEnd"/>
      <w:r w:rsidRPr="00215C09">
        <w:rPr>
          <w:lang w:val="en-US"/>
        </w:rPr>
        <w:t xml:space="preserve">; N. Hopkinson, N. </w:t>
      </w:r>
      <w:proofErr w:type="spellStart"/>
      <w:r w:rsidRPr="00215C09">
        <w:rPr>
          <w:lang w:val="en-US"/>
        </w:rPr>
        <w:t>Voulvoulis</w:t>
      </w:r>
      <w:proofErr w:type="spellEnd"/>
      <w:r w:rsidRPr="00215C09">
        <w:rPr>
          <w:lang w:val="en-US"/>
        </w:rPr>
        <w:t xml:space="preserve">, </w:t>
      </w:r>
      <w:r w:rsidRPr="00215C09">
        <w:rPr>
          <w:i/>
          <w:iCs/>
          <w:lang w:val="en-US"/>
        </w:rPr>
        <w:t>Cigarette Smoking: An Assessment of Tobacco’s Global Environmental Footprint Across Its</w:t>
      </w:r>
      <w:r>
        <w:rPr>
          <w:i/>
          <w:iCs/>
          <w:lang w:val="en-US"/>
        </w:rPr>
        <w:t xml:space="preserve"> </w:t>
      </w:r>
      <w:r w:rsidRPr="00215C09">
        <w:rPr>
          <w:i/>
          <w:iCs/>
          <w:lang w:val="en-US"/>
        </w:rPr>
        <w:t>Entire Supply Chain</w:t>
      </w:r>
      <w:r>
        <w:rPr>
          <w:lang w:val="en-US"/>
        </w:rPr>
        <w:t xml:space="preserve">, op. cit.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10D55"/>
    <w:multiLevelType w:val="hybridMultilevel"/>
    <w:tmpl w:val="3DAC6B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45B66"/>
    <w:multiLevelType w:val="hybridMultilevel"/>
    <w:tmpl w:val="4A9CC6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74BB9"/>
    <w:multiLevelType w:val="hybridMultilevel"/>
    <w:tmpl w:val="9B267C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D0C83"/>
    <w:multiLevelType w:val="hybridMultilevel"/>
    <w:tmpl w:val="725825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368149">
    <w:abstractNumId w:val="0"/>
  </w:num>
  <w:num w:numId="2" w16cid:durableId="2081830006">
    <w:abstractNumId w:val="2"/>
  </w:num>
  <w:num w:numId="3" w16cid:durableId="154273187">
    <w:abstractNumId w:val="3"/>
  </w:num>
  <w:num w:numId="4" w16cid:durableId="180097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624"/>
    <w:rsid w:val="000270C4"/>
    <w:rsid w:val="0007376A"/>
    <w:rsid w:val="00097397"/>
    <w:rsid w:val="000C77F7"/>
    <w:rsid w:val="000E668E"/>
    <w:rsid w:val="0011301A"/>
    <w:rsid w:val="0015165A"/>
    <w:rsid w:val="00167F70"/>
    <w:rsid w:val="00190334"/>
    <w:rsid w:val="00193F58"/>
    <w:rsid w:val="001A25FA"/>
    <w:rsid w:val="002401B6"/>
    <w:rsid w:val="00267E7B"/>
    <w:rsid w:val="002B3A48"/>
    <w:rsid w:val="002C2E7C"/>
    <w:rsid w:val="002C7DFA"/>
    <w:rsid w:val="002F0A5D"/>
    <w:rsid w:val="002F6624"/>
    <w:rsid w:val="00327A39"/>
    <w:rsid w:val="003310F7"/>
    <w:rsid w:val="00343FE0"/>
    <w:rsid w:val="003715ED"/>
    <w:rsid w:val="00391C27"/>
    <w:rsid w:val="00392F83"/>
    <w:rsid w:val="003A2120"/>
    <w:rsid w:val="003C1E6E"/>
    <w:rsid w:val="004405F6"/>
    <w:rsid w:val="0046696A"/>
    <w:rsid w:val="004F210D"/>
    <w:rsid w:val="00500C90"/>
    <w:rsid w:val="00522201"/>
    <w:rsid w:val="00543B73"/>
    <w:rsid w:val="005678CC"/>
    <w:rsid w:val="00586948"/>
    <w:rsid w:val="00591C88"/>
    <w:rsid w:val="005952CB"/>
    <w:rsid w:val="005C66B4"/>
    <w:rsid w:val="00605348"/>
    <w:rsid w:val="006261EB"/>
    <w:rsid w:val="006721DE"/>
    <w:rsid w:val="00676404"/>
    <w:rsid w:val="00691F6E"/>
    <w:rsid w:val="0069441A"/>
    <w:rsid w:val="006B1190"/>
    <w:rsid w:val="007375CF"/>
    <w:rsid w:val="007956FE"/>
    <w:rsid w:val="007C308B"/>
    <w:rsid w:val="007E64E5"/>
    <w:rsid w:val="0081297A"/>
    <w:rsid w:val="00837055"/>
    <w:rsid w:val="00856C6E"/>
    <w:rsid w:val="00863A77"/>
    <w:rsid w:val="00887A87"/>
    <w:rsid w:val="008F3FB6"/>
    <w:rsid w:val="00944C06"/>
    <w:rsid w:val="0096254A"/>
    <w:rsid w:val="00982FA3"/>
    <w:rsid w:val="009B0BA7"/>
    <w:rsid w:val="009C7620"/>
    <w:rsid w:val="00A1761A"/>
    <w:rsid w:val="00AB2D48"/>
    <w:rsid w:val="00B0162C"/>
    <w:rsid w:val="00B11682"/>
    <w:rsid w:val="00B11BE5"/>
    <w:rsid w:val="00B144C3"/>
    <w:rsid w:val="00B30D69"/>
    <w:rsid w:val="00BC30F1"/>
    <w:rsid w:val="00BC66C7"/>
    <w:rsid w:val="00BF1AAE"/>
    <w:rsid w:val="00C23335"/>
    <w:rsid w:val="00C2726D"/>
    <w:rsid w:val="00C51C9C"/>
    <w:rsid w:val="00C9333F"/>
    <w:rsid w:val="00D043C0"/>
    <w:rsid w:val="00D20E2B"/>
    <w:rsid w:val="00D252C6"/>
    <w:rsid w:val="00D318FF"/>
    <w:rsid w:val="00D57BD9"/>
    <w:rsid w:val="00D6449B"/>
    <w:rsid w:val="00DC1667"/>
    <w:rsid w:val="00DC18B9"/>
    <w:rsid w:val="00DF4301"/>
    <w:rsid w:val="00E4234F"/>
    <w:rsid w:val="00E76AAA"/>
    <w:rsid w:val="00E7749B"/>
    <w:rsid w:val="00E912A1"/>
    <w:rsid w:val="00EA66C7"/>
    <w:rsid w:val="00EE2DFC"/>
    <w:rsid w:val="00F04E90"/>
    <w:rsid w:val="00F200B6"/>
    <w:rsid w:val="00F3330B"/>
    <w:rsid w:val="00F5261F"/>
    <w:rsid w:val="00F52F25"/>
    <w:rsid w:val="00F6337D"/>
    <w:rsid w:val="00F653AE"/>
    <w:rsid w:val="00F8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6A9C"/>
  <w15:chartTrackingRefBased/>
  <w15:docId w15:val="{95865928-CC3D-2E46-B19E-A08BF741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unhideWhenUsed/>
    <w:qFormat/>
    <w:rsid w:val="001A25FA"/>
    <w:pPr>
      <w:spacing w:after="160" w:line="312" w:lineRule="auto"/>
      <w:ind w:left="720"/>
      <w:contextualSpacing/>
    </w:pPr>
    <w:rPr>
      <w:color w:val="44546A" w:themeColor="text2"/>
      <w:sz w:val="26"/>
      <w:szCs w:val="26"/>
      <w:lang w:val="es-ES" w:eastAsia="ja-JP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A25FA"/>
    <w:rPr>
      <w:color w:val="44546A" w:themeColor="text2"/>
      <w:sz w:val="20"/>
      <w:szCs w:val="20"/>
      <w:lang w:val="es-ES" w:eastAsia="ja-JP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A25FA"/>
    <w:rPr>
      <w:color w:val="44546A" w:themeColor="text2"/>
      <w:sz w:val="20"/>
      <w:szCs w:val="20"/>
      <w:lang w:val="es-ES" w:eastAsia="ja-JP"/>
    </w:rPr>
  </w:style>
  <w:style w:type="character" w:styleId="Refdenotaalpie">
    <w:name w:val="footnote reference"/>
    <w:basedOn w:val="Fuentedeprrafopredeter"/>
    <w:uiPriority w:val="99"/>
    <w:semiHidden/>
    <w:unhideWhenUsed/>
    <w:rsid w:val="001A25F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A25F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C23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5">
    <w:name w:val="Grid Table 4 Accent 5"/>
    <w:basedOn w:val="Tablanormal"/>
    <w:uiPriority w:val="49"/>
    <w:rsid w:val="00C23335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956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56FE"/>
  </w:style>
  <w:style w:type="paragraph" w:styleId="Piedepgina">
    <w:name w:val="footer"/>
    <w:basedOn w:val="Normal"/>
    <w:link w:val="PiedepginaCar"/>
    <w:uiPriority w:val="99"/>
    <w:unhideWhenUsed/>
    <w:rsid w:val="007956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56FE"/>
  </w:style>
  <w:style w:type="paragraph" w:styleId="Revisin">
    <w:name w:val="Revision"/>
    <w:hidden/>
    <w:uiPriority w:val="99"/>
    <w:semiHidden/>
    <w:rsid w:val="00B144C3"/>
  </w:style>
  <w:style w:type="character" w:styleId="Mencinsinresolver">
    <w:name w:val="Unresolved Mention"/>
    <w:basedOn w:val="Fuentedeprrafopredeter"/>
    <w:uiPriority w:val="99"/>
    <w:semiHidden/>
    <w:unhideWhenUsed/>
    <w:rsid w:val="0011301A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952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952C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952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tobaccoplastics.ggtc.world/" TargetMode="External"/><Relationship Id="rId3" Type="http://schemas.openxmlformats.org/officeDocument/2006/relationships/hyperlink" Target="https://exposetobacco.org/resource/talking-trash-tobacco-sustainability/" TargetMode="External"/><Relationship Id="rId7" Type="http://schemas.openxmlformats.org/officeDocument/2006/relationships/hyperlink" Target="https://truthinitiative.org/research-resources/harmful-effectstobacco/tobacco-and-environment" TargetMode="External"/><Relationship Id="rId2" Type="http://schemas.openxmlformats.org/officeDocument/2006/relationships/hyperlink" Target="https://www.who.int/es/news/item/13-12-2021-protect-the-environment-world-no-tobacco-day-2022-will-give-you-one-more-reason-to-quit" TargetMode="External"/><Relationship Id="rId1" Type="http://schemas.openxmlformats.org/officeDocument/2006/relationships/hyperlink" Target="https://apps.who.int/iris/bitstream/handle/10665/255574/9789241512497-eng.pdf" TargetMode="External"/><Relationship Id="rId6" Type="http://schemas.openxmlformats.org/officeDocument/2006/relationships/hyperlink" Target="https://www.ncbi.nlm.nih.gov/pmc/articles/PMC4669730/" TargetMode="External"/><Relationship Id="rId5" Type="http://schemas.openxmlformats.org/officeDocument/2006/relationships/hyperlink" Target="https://www.nationalgeographic.com/environment/article/cigarettes-story-of-plastic" TargetMode="External"/><Relationship Id="rId4" Type="http://schemas.openxmlformats.org/officeDocument/2006/relationships/hyperlink" Target="https://pubs.acs.org/doi/10.1021/acs.est.8b0153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C5F0CF-64E7-41A9-9D10-9BE93DF69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1278</Words>
  <Characters>7034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Antonio Ochoa</dc:creator>
  <cp:keywords/>
  <dc:description/>
  <cp:lastModifiedBy>Erick Antonio Ochoa</cp:lastModifiedBy>
  <cp:revision>4</cp:revision>
  <dcterms:created xsi:type="dcterms:W3CDTF">2022-05-26T22:24:00Z</dcterms:created>
  <dcterms:modified xsi:type="dcterms:W3CDTF">2022-05-27T13:38:00Z</dcterms:modified>
</cp:coreProperties>
</file>